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FB73" w14:textId="77777777" w:rsidR="00DA7516" w:rsidRDefault="00DA7516" w:rsidP="00DA7516">
      <w:pPr>
        <w:spacing w:line="240" w:lineRule="auto"/>
        <w:contextualSpacing/>
        <w:rPr>
          <w:rFonts w:ascii="BentonSans Black" w:hAnsi="BentonSans Black"/>
          <w:b/>
          <w:sz w:val="40"/>
        </w:rPr>
      </w:pPr>
      <w:r>
        <w:rPr>
          <w:rFonts w:ascii="BentonSans Black" w:hAnsi="BentonSans Black"/>
          <w:b/>
          <w:sz w:val="40"/>
        </w:rPr>
        <w:t>Chancellor’s Faculty Award for</w:t>
      </w:r>
    </w:p>
    <w:p w14:paraId="56D0436B" w14:textId="63D8B0E7" w:rsidR="007D06D0" w:rsidRPr="00A66B6D" w:rsidRDefault="00C83A69" w:rsidP="00DA7516">
      <w:pPr>
        <w:spacing w:line="240" w:lineRule="auto"/>
        <w:contextualSpacing/>
        <w:rPr>
          <w:rFonts w:ascii="BentonSans Black" w:hAnsi="BentonSans Black"/>
          <w:b/>
          <w:sz w:val="40"/>
        </w:rPr>
      </w:pPr>
      <w:r>
        <w:rPr>
          <w:rFonts w:ascii="BentonSans Black" w:hAnsi="BentonSans Black"/>
          <w:b/>
          <w:sz w:val="40"/>
        </w:rPr>
        <w:t>Excellence in Civic Engagement</w:t>
      </w:r>
      <w:r w:rsidR="0061541A" w:rsidRPr="00A66B6D">
        <w:rPr>
          <w:rFonts w:ascii="BentonSans Black" w:hAnsi="BentonSans Black"/>
          <w:b/>
          <w:sz w:val="40"/>
        </w:rPr>
        <w:t xml:space="preserve"> </w:t>
      </w:r>
      <w:r w:rsidR="00276708">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31697A">
        <w:rPr>
          <w:rFonts w:ascii="BentonSans Black" w:hAnsi="BentonSans Black"/>
          <w:b/>
          <w:sz w:val="36"/>
        </w:rPr>
        <w:t>02</w:t>
      </w:r>
      <w:r w:rsidR="000941CE">
        <w:rPr>
          <w:rFonts w:ascii="BentonSans Black" w:hAnsi="BentonSans Black"/>
          <w:b/>
          <w:sz w:val="36"/>
        </w:rPr>
        <w:t>4</w:t>
      </w:r>
    </w:p>
    <w:p w14:paraId="0EB73525" w14:textId="77777777" w:rsidR="00034B50" w:rsidRDefault="00034B50" w:rsidP="00DA7516">
      <w:pPr>
        <w:spacing w:line="240" w:lineRule="auto"/>
        <w:ind w:right="2160"/>
        <w:contextualSpacing/>
        <w:rPr>
          <w:rFonts w:ascii="BentonSans" w:hAnsi="BentonSans"/>
          <w:sz w:val="20"/>
        </w:rPr>
      </w:pPr>
    </w:p>
    <w:p w14:paraId="257E74AE" w14:textId="77777777" w:rsidR="00034B50" w:rsidRPr="00C83A69" w:rsidRDefault="00C83A69" w:rsidP="00DA7516">
      <w:pPr>
        <w:spacing w:after="0"/>
        <w:ind w:right="195"/>
        <w:rPr>
          <w:rFonts w:ascii="BentonSans" w:hAnsi="BentonSans"/>
          <w:sz w:val="20"/>
          <w:szCs w:val="20"/>
        </w:rPr>
      </w:pPr>
      <w:r w:rsidRPr="00C83A69">
        <w:rPr>
          <w:rFonts w:ascii="BentonSans" w:hAnsi="BentonSans"/>
          <w:sz w:val="20"/>
          <w:szCs w:val="20"/>
        </w:rPr>
        <w:t xml:space="preserve">In 2004, the Civic Engagement Awards were established. IUPUI defines civic engagement as “active collaboration that builds on the resources, skills, expertise, and knowledge of the campus and community to improve the quality of life in communities in a manner consistent with the campus mission.” The definition of civic engagement indicates that this work encompasses teaching, research, and service (including patient and client services) </w:t>
      </w:r>
      <w:r w:rsidRPr="00C83A69">
        <w:rPr>
          <w:rFonts w:ascii="BentonSans" w:eastAsia="Verdana" w:hAnsi="BentonSans" w:cs="Verdana"/>
          <w:b/>
          <w:sz w:val="20"/>
          <w:szCs w:val="20"/>
        </w:rPr>
        <w:t xml:space="preserve">in </w:t>
      </w:r>
      <w:r w:rsidRPr="00C83A69">
        <w:rPr>
          <w:rFonts w:ascii="BentonSans" w:hAnsi="BentonSans"/>
          <w:sz w:val="20"/>
          <w:szCs w:val="20"/>
        </w:rPr>
        <w:t xml:space="preserve">and </w:t>
      </w:r>
      <w:r w:rsidRPr="00C83A69">
        <w:rPr>
          <w:rFonts w:ascii="BentonSans" w:eastAsia="Verdana" w:hAnsi="BentonSans" w:cs="Verdana"/>
          <w:b/>
          <w:sz w:val="20"/>
          <w:szCs w:val="20"/>
        </w:rPr>
        <w:t xml:space="preserve">with </w:t>
      </w:r>
      <w:r w:rsidRPr="00C83A69">
        <w:rPr>
          <w:rFonts w:ascii="BentonSans" w:hAnsi="BentonSans"/>
          <w:sz w:val="20"/>
          <w:szCs w:val="20"/>
        </w:rPr>
        <w:t xml:space="preserve">the community. Civic engagement includes university work in all sectors of society: nonprofit, government, and business. A $3,000 award will be given to one faculty member which will be added to </w:t>
      </w:r>
      <w:r w:rsidR="00407EB5">
        <w:rPr>
          <w:rFonts w:ascii="BentonSans" w:hAnsi="BentonSans"/>
          <w:sz w:val="20"/>
          <w:szCs w:val="20"/>
        </w:rPr>
        <w:t>their</w:t>
      </w:r>
      <w:r w:rsidRPr="00C83A69">
        <w:rPr>
          <w:rFonts w:ascii="BentonSans" w:hAnsi="BentonSans"/>
          <w:sz w:val="20"/>
          <w:szCs w:val="20"/>
        </w:rPr>
        <w:t xml:space="preserve"> base salary.  </w:t>
      </w:r>
      <w:r w:rsidR="00DA7516">
        <w:rPr>
          <w:rFonts w:ascii="BentonSans" w:hAnsi="BentonSans"/>
          <w:sz w:val="20"/>
          <w:szCs w:val="20"/>
        </w:rPr>
        <w:br/>
      </w:r>
    </w:p>
    <w:p w14:paraId="7F4EFF70"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p>
    <w:p w14:paraId="14AA6FCA" w14:textId="77777777" w:rsidR="00C83A69" w:rsidRPr="00C83A69" w:rsidRDefault="00C83A69" w:rsidP="00A66B6D">
      <w:pPr>
        <w:spacing w:after="0" w:line="240" w:lineRule="auto"/>
        <w:ind w:right="2160"/>
        <w:contextualSpacing/>
        <w:rPr>
          <w:rFonts w:ascii="BentonSans" w:hAnsi="BentonSans"/>
          <w:sz w:val="20"/>
          <w:szCs w:val="20"/>
        </w:rPr>
      </w:pPr>
      <w:r w:rsidRPr="00C83A69">
        <w:rPr>
          <w:rFonts w:ascii="BentonSans" w:hAnsi="BentonSans"/>
          <w:sz w:val="20"/>
          <w:szCs w:val="20"/>
        </w:rPr>
        <w:t>Full-time faculty members in any classi</w:t>
      </w:r>
      <w:r w:rsidR="002206F7">
        <w:rPr>
          <w:rFonts w:ascii="BentonSans" w:hAnsi="BentonSans"/>
          <w:sz w:val="20"/>
          <w:szCs w:val="20"/>
        </w:rPr>
        <w:t xml:space="preserve">fication for whom professional </w:t>
      </w:r>
      <w:r w:rsidRPr="00C83A69">
        <w:rPr>
          <w:rFonts w:ascii="BentonSans" w:hAnsi="BentonSans"/>
          <w:sz w:val="20"/>
          <w:szCs w:val="20"/>
        </w:rPr>
        <w:t xml:space="preserve">service and teaching, research, or service in the central Indiana community is an expectation and who have taught at IUPUI for at least five years, including at least one term in the year immediately preceding the nomination, are eligible for nomination. </w:t>
      </w:r>
      <w:r w:rsidRPr="00C83A69">
        <w:rPr>
          <w:rFonts w:ascii="BentonSans" w:eastAsia="Verdana" w:hAnsi="BentonSans" w:cs="Verdana"/>
          <w:i/>
          <w:sz w:val="20"/>
          <w:szCs w:val="20"/>
        </w:rPr>
        <w:t>An individual may receive the award only once</w:t>
      </w:r>
      <w:r w:rsidRPr="00C83A69">
        <w:rPr>
          <w:rFonts w:ascii="BentonSans" w:hAnsi="BentonSans"/>
          <w:sz w:val="20"/>
          <w:szCs w:val="20"/>
        </w:rPr>
        <w:t xml:space="preserve">.  </w:t>
      </w:r>
    </w:p>
    <w:p w14:paraId="698F54D9" w14:textId="77777777" w:rsidR="00C83A69" w:rsidRDefault="00C83A69" w:rsidP="00A66B6D">
      <w:pPr>
        <w:spacing w:after="0" w:line="240" w:lineRule="auto"/>
        <w:ind w:right="2160"/>
        <w:contextualSpacing/>
      </w:pPr>
    </w:p>
    <w:p w14:paraId="3AB6F913" w14:textId="77777777" w:rsidR="00863D16" w:rsidRDefault="00863D16" w:rsidP="00A66B6D">
      <w:pPr>
        <w:spacing w:after="0" w:line="240" w:lineRule="auto"/>
        <w:ind w:right="2160"/>
        <w:contextualSpacing/>
        <w:rPr>
          <w:rFonts w:ascii="BentonSans" w:hAnsi="BentonSans"/>
          <w:sz w:val="20"/>
        </w:rPr>
      </w:pPr>
      <w:r w:rsidRPr="00A66B6D">
        <w:rPr>
          <w:rFonts w:ascii="BentonSans Black" w:hAnsi="BentonSans Black"/>
          <w:b/>
          <w:i/>
          <w:sz w:val="24"/>
        </w:rPr>
        <w:t>Criteria</w:t>
      </w:r>
    </w:p>
    <w:p w14:paraId="187E2B7E" w14:textId="77777777" w:rsidR="004D3F32" w:rsidRDefault="007F6521"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Faculty nominated for this award should exemplify high standards of civic engagement; professional service; or service learning with documented records of achievement that include peer review, student evaluations, assessments from community organization representatives; and evidence of s</w:t>
      </w:r>
      <w:r w:rsidR="007650C5">
        <w:rPr>
          <w:rFonts w:ascii="BentonSans" w:hAnsi="BentonSans"/>
          <w:sz w:val="20"/>
        </w:rPr>
        <w:t>cholarly research, publication,</w:t>
      </w:r>
      <w:r>
        <w:rPr>
          <w:rFonts w:ascii="BentonSans" w:hAnsi="BentonSans"/>
          <w:sz w:val="20"/>
        </w:rPr>
        <w:t xml:space="preserve"> or presentations developed from the professional service to the community and civic engagement.</w:t>
      </w:r>
    </w:p>
    <w:p w14:paraId="3B572F3B" w14:textId="77777777" w:rsidR="007F6521" w:rsidRDefault="007F6521"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Records demonstrating a sustained commitment to community development through effective partnerships will receive more favorable consideration, as will evidence of the faculty member’s continued growth and development as a teacher, researcher, and scholar.</w:t>
      </w:r>
    </w:p>
    <w:p w14:paraId="1ABBB597" w14:textId="76F9FA68" w:rsidR="006602EA" w:rsidRPr="006602EA" w:rsidRDefault="006602EA" w:rsidP="006602EA">
      <w:pPr>
        <w:spacing w:line="240" w:lineRule="auto"/>
        <w:ind w:right="2160"/>
        <w:rPr>
          <w:rFonts w:ascii="BentonSans" w:hAnsi="BentonSans"/>
          <w:sz w:val="20"/>
        </w:rPr>
      </w:pPr>
      <w:r w:rsidRPr="006602EA">
        <w:rPr>
          <w:rFonts w:ascii="BentonSans" w:hAnsi="BentonSans"/>
          <w:sz w:val="20"/>
        </w:rPr>
        <w:t>Applicants are advised to apply the following Indicators of Quality Service when preparing doss</w:t>
      </w:r>
      <w:r w:rsidR="001750A4">
        <w:rPr>
          <w:rFonts w:ascii="BentonSans" w:hAnsi="BentonSans"/>
          <w:sz w:val="20"/>
        </w:rPr>
        <w:t>i</w:t>
      </w:r>
      <w:r w:rsidRPr="006602EA">
        <w:rPr>
          <w:rFonts w:ascii="BentonSans" w:hAnsi="BentonSans"/>
          <w:sz w:val="20"/>
        </w:rPr>
        <w:t>ers. These criteria will be used to review dossiers:</w:t>
      </w:r>
    </w:p>
    <w:p w14:paraId="2E321C73" w14:textId="77777777" w:rsidR="005A0A7A" w:rsidRDefault="005A0A7A" w:rsidP="005A0A7A">
      <w:pPr>
        <w:pStyle w:val="ListParagraph"/>
        <w:numPr>
          <w:ilvl w:val="0"/>
          <w:numId w:val="11"/>
        </w:numPr>
        <w:spacing w:line="240" w:lineRule="auto"/>
        <w:ind w:left="360" w:right="2160" w:hanging="180"/>
        <w:rPr>
          <w:rFonts w:ascii="BentonSans" w:hAnsi="BentonSans"/>
          <w:sz w:val="20"/>
        </w:rPr>
      </w:pPr>
      <w:r>
        <w:rPr>
          <w:rFonts w:ascii="BentonSans" w:hAnsi="BentonSans"/>
          <w:sz w:val="20"/>
        </w:rPr>
        <w:t xml:space="preserve">Impact and </w:t>
      </w:r>
      <w:r w:rsidRPr="003102BD">
        <w:rPr>
          <w:rFonts w:ascii="BentonSans" w:hAnsi="BentonSans"/>
          <w:sz w:val="20"/>
        </w:rPr>
        <w:t>significance of civic engagement work</w:t>
      </w:r>
    </w:p>
    <w:p w14:paraId="537A4344" w14:textId="77777777" w:rsidR="005A0A7A" w:rsidRPr="003102BD" w:rsidRDefault="005A0A7A" w:rsidP="005A0A7A">
      <w:pPr>
        <w:pStyle w:val="ListParagraph"/>
        <w:numPr>
          <w:ilvl w:val="1"/>
          <w:numId w:val="11"/>
        </w:numPr>
        <w:spacing w:line="240" w:lineRule="auto"/>
        <w:ind w:right="2160"/>
        <w:rPr>
          <w:rFonts w:ascii="BentonSans" w:hAnsi="BentonSans"/>
          <w:sz w:val="20"/>
        </w:rPr>
      </w:pPr>
      <w:r w:rsidRPr="003102BD">
        <w:rPr>
          <w:rFonts w:ascii="BentonSans" w:hAnsi="BentonSans"/>
          <w:sz w:val="20"/>
        </w:rPr>
        <w:t>Furthering the missions and goals of the department, school, and campus</w:t>
      </w:r>
    </w:p>
    <w:p w14:paraId="1473593A" w14:textId="77777777" w:rsidR="005A0A7A" w:rsidRPr="003102BD" w:rsidRDefault="005A0A7A" w:rsidP="005A0A7A">
      <w:pPr>
        <w:pStyle w:val="ListParagraph"/>
        <w:numPr>
          <w:ilvl w:val="1"/>
          <w:numId w:val="11"/>
        </w:numPr>
        <w:spacing w:line="240" w:lineRule="auto"/>
        <w:ind w:right="2160"/>
        <w:rPr>
          <w:rFonts w:ascii="BentonSans" w:hAnsi="BentonSans"/>
          <w:sz w:val="20"/>
        </w:rPr>
      </w:pPr>
      <w:r w:rsidRPr="003102BD">
        <w:rPr>
          <w:rFonts w:ascii="BentonSans" w:hAnsi="BentonSans"/>
          <w:sz w:val="20"/>
        </w:rPr>
        <w:t>Influence on identified constituencies</w:t>
      </w:r>
    </w:p>
    <w:p w14:paraId="2832D186" w14:textId="77777777" w:rsidR="005A0A7A" w:rsidRDefault="005A0A7A" w:rsidP="005A0A7A">
      <w:pPr>
        <w:pStyle w:val="ListParagraph"/>
        <w:numPr>
          <w:ilvl w:val="1"/>
          <w:numId w:val="11"/>
        </w:numPr>
        <w:spacing w:line="240" w:lineRule="auto"/>
        <w:ind w:right="2160"/>
        <w:rPr>
          <w:rFonts w:ascii="BentonSans" w:hAnsi="BentonSans"/>
          <w:sz w:val="20"/>
        </w:rPr>
      </w:pPr>
      <w:r w:rsidRPr="003102BD">
        <w:rPr>
          <w:rFonts w:ascii="BentonSans" w:hAnsi="BentonSans"/>
          <w:sz w:val="20"/>
        </w:rPr>
        <w:t>Contributing to the professional development of the faculty member</w:t>
      </w:r>
    </w:p>
    <w:p w14:paraId="409CD826" w14:textId="77777777" w:rsidR="005A0A7A" w:rsidRDefault="005A0A7A" w:rsidP="005A0A7A">
      <w:pPr>
        <w:pStyle w:val="ListParagraph"/>
        <w:numPr>
          <w:ilvl w:val="0"/>
          <w:numId w:val="11"/>
        </w:numPr>
        <w:spacing w:line="240" w:lineRule="auto"/>
        <w:ind w:left="360" w:right="2160" w:hanging="180"/>
        <w:rPr>
          <w:rFonts w:ascii="BentonSans" w:hAnsi="BentonSans"/>
          <w:sz w:val="20"/>
        </w:rPr>
      </w:pPr>
      <w:r>
        <w:rPr>
          <w:rFonts w:ascii="BentonSans" w:hAnsi="BentonSans"/>
          <w:sz w:val="20"/>
        </w:rPr>
        <w:t xml:space="preserve"> Intellectual Work</w:t>
      </w:r>
    </w:p>
    <w:p w14:paraId="5C1CF4CE"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Command and application of relevant knowledge, skills, and technological</w:t>
      </w:r>
      <w:r>
        <w:rPr>
          <w:rFonts w:ascii="BentonSans" w:hAnsi="BentonSans"/>
          <w:sz w:val="20"/>
        </w:rPr>
        <w:t xml:space="preserve"> </w:t>
      </w:r>
      <w:r w:rsidRPr="00257492">
        <w:rPr>
          <w:rFonts w:ascii="BentonSans" w:hAnsi="BentonSans"/>
          <w:sz w:val="20"/>
        </w:rPr>
        <w:t>expertise</w:t>
      </w:r>
    </w:p>
    <w:p w14:paraId="5DE87C38"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Contributions to a body of knowledge</w:t>
      </w:r>
    </w:p>
    <w:p w14:paraId="3AF25413"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Imagination, creativity, and innovation</w:t>
      </w:r>
    </w:p>
    <w:p w14:paraId="7D902DAC" w14:textId="77777777" w:rsidR="005A0A7A"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Sensitivity to and application of ethical standards</w:t>
      </w:r>
    </w:p>
    <w:p w14:paraId="1F351859" w14:textId="77777777" w:rsidR="005A0A7A" w:rsidRDefault="005A0A7A" w:rsidP="005A0A7A">
      <w:pPr>
        <w:pStyle w:val="ListParagraph"/>
        <w:numPr>
          <w:ilvl w:val="0"/>
          <w:numId w:val="11"/>
        </w:numPr>
        <w:spacing w:line="240" w:lineRule="auto"/>
        <w:ind w:left="360" w:right="2160" w:hanging="180"/>
        <w:rPr>
          <w:rFonts w:ascii="BentonSans" w:hAnsi="BentonSans"/>
          <w:sz w:val="20"/>
        </w:rPr>
      </w:pPr>
      <w:r>
        <w:rPr>
          <w:rFonts w:ascii="BentonSans" w:hAnsi="BentonSans"/>
          <w:sz w:val="20"/>
        </w:rPr>
        <w:t xml:space="preserve"> Importance of the faculty member’s role</w:t>
      </w:r>
    </w:p>
    <w:p w14:paraId="52F3C15B"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Consistency in completing necessary work</w:t>
      </w:r>
    </w:p>
    <w:p w14:paraId="6C4DB4A5"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Sustained contribution</w:t>
      </w:r>
    </w:p>
    <w:p w14:paraId="7C18100E"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Increasing level of responsibility</w:t>
      </w:r>
    </w:p>
    <w:p w14:paraId="422CDB80" w14:textId="77777777" w:rsidR="005A0A7A"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Consensus building</w:t>
      </w:r>
    </w:p>
    <w:p w14:paraId="4DEDA56D" w14:textId="77777777" w:rsidR="005A0A7A" w:rsidRDefault="005A0A7A" w:rsidP="005A0A7A">
      <w:pPr>
        <w:pStyle w:val="ListParagraph"/>
        <w:numPr>
          <w:ilvl w:val="0"/>
          <w:numId w:val="11"/>
        </w:numPr>
        <w:spacing w:line="240" w:lineRule="auto"/>
        <w:ind w:left="360" w:right="2160" w:hanging="180"/>
        <w:rPr>
          <w:rFonts w:ascii="BentonSans" w:hAnsi="BentonSans"/>
          <w:sz w:val="20"/>
        </w:rPr>
      </w:pPr>
      <w:r>
        <w:rPr>
          <w:rFonts w:ascii="BentonSans" w:hAnsi="BentonSans"/>
          <w:sz w:val="20"/>
        </w:rPr>
        <w:t xml:space="preserve"> Communication and dissemination</w:t>
      </w:r>
    </w:p>
    <w:p w14:paraId="30F01DF7"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Responsible representation of work during and after completion</w:t>
      </w:r>
    </w:p>
    <w:p w14:paraId="06BA5EA2"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Communication with appropriate audiences, including academic, peer-reviewed</w:t>
      </w:r>
      <w:r>
        <w:rPr>
          <w:rFonts w:ascii="BentonSans" w:hAnsi="BentonSans"/>
          <w:sz w:val="20"/>
        </w:rPr>
        <w:t xml:space="preserve"> </w:t>
      </w:r>
      <w:r w:rsidRPr="00257492">
        <w:rPr>
          <w:rFonts w:ascii="BentonSans" w:hAnsi="BentonSans"/>
          <w:sz w:val="20"/>
        </w:rPr>
        <w:t>publications</w:t>
      </w:r>
    </w:p>
    <w:p w14:paraId="36CD0E6C"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Use of modes of communication and dissemination that are appropriate to</w:t>
      </w:r>
      <w:r>
        <w:rPr>
          <w:rFonts w:ascii="BentonSans" w:hAnsi="BentonSans"/>
          <w:sz w:val="20"/>
        </w:rPr>
        <w:t xml:space="preserve"> </w:t>
      </w:r>
      <w:r w:rsidRPr="00257492">
        <w:rPr>
          <w:rFonts w:ascii="BentonSans" w:hAnsi="BentonSans"/>
          <w:sz w:val="20"/>
        </w:rPr>
        <w:t>audiences</w:t>
      </w:r>
    </w:p>
    <w:p w14:paraId="73AF0718" w14:textId="77777777" w:rsidR="005A0A7A"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Analysis of and reflection on the civic engagement</w:t>
      </w:r>
    </w:p>
    <w:p w14:paraId="1CB016F6" w14:textId="77777777" w:rsidR="005A0A7A" w:rsidRDefault="005A0A7A" w:rsidP="005A0A7A">
      <w:pPr>
        <w:pStyle w:val="ListParagraph"/>
        <w:numPr>
          <w:ilvl w:val="0"/>
          <w:numId w:val="11"/>
        </w:numPr>
        <w:spacing w:line="240" w:lineRule="auto"/>
        <w:ind w:left="360" w:right="2160" w:hanging="180"/>
        <w:rPr>
          <w:rFonts w:ascii="BentonSans" w:hAnsi="BentonSans"/>
          <w:sz w:val="20"/>
        </w:rPr>
      </w:pPr>
      <w:r>
        <w:rPr>
          <w:rFonts w:ascii="BentonSans" w:hAnsi="BentonSans"/>
          <w:sz w:val="20"/>
        </w:rPr>
        <w:lastRenderedPageBreak/>
        <w:t xml:space="preserve"> Interaction of service, teaching, and research</w:t>
      </w:r>
    </w:p>
    <w:p w14:paraId="2A6D9CEE" w14:textId="77777777" w:rsidR="005A0A7A" w:rsidRPr="00257492"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Symbiosis of service, teaching, and research</w:t>
      </w:r>
    </w:p>
    <w:p w14:paraId="4A2A2DD4" w14:textId="77777777" w:rsidR="005A0A7A" w:rsidRDefault="005A0A7A" w:rsidP="005A0A7A">
      <w:pPr>
        <w:pStyle w:val="ListParagraph"/>
        <w:numPr>
          <w:ilvl w:val="1"/>
          <w:numId w:val="11"/>
        </w:numPr>
        <w:spacing w:line="240" w:lineRule="auto"/>
        <w:ind w:right="2160"/>
        <w:rPr>
          <w:rFonts w:ascii="BentonSans" w:hAnsi="BentonSans"/>
          <w:sz w:val="20"/>
        </w:rPr>
      </w:pPr>
      <w:r w:rsidRPr="00257492">
        <w:rPr>
          <w:rFonts w:ascii="BentonSans" w:hAnsi="BentonSans"/>
          <w:sz w:val="20"/>
        </w:rPr>
        <w:t>Civic engagement that contributes to the learning environments of students, other</w:t>
      </w:r>
      <w:r>
        <w:rPr>
          <w:rFonts w:ascii="BentonSans" w:hAnsi="BentonSans"/>
          <w:sz w:val="20"/>
        </w:rPr>
        <w:t xml:space="preserve"> </w:t>
      </w:r>
      <w:r w:rsidRPr="00257492">
        <w:rPr>
          <w:rFonts w:ascii="BentonSans" w:hAnsi="BentonSans"/>
          <w:sz w:val="20"/>
        </w:rPr>
        <w:t>faculty members, and the community</w:t>
      </w:r>
    </w:p>
    <w:p w14:paraId="4F2CEFE9" w14:textId="77777777" w:rsidR="004D3F32" w:rsidRPr="00A66B6D" w:rsidRDefault="00854557"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t xml:space="preserve">Nomination </w:t>
      </w:r>
      <w:r w:rsidR="004D3F32" w:rsidRPr="00A66B6D">
        <w:rPr>
          <w:rFonts w:ascii="BentonSans Black" w:hAnsi="BentonSans Black"/>
          <w:b/>
          <w:i/>
          <w:sz w:val="24"/>
        </w:rPr>
        <w:t>Process</w:t>
      </w:r>
    </w:p>
    <w:p w14:paraId="09FCABF1" w14:textId="77777777" w:rsidR="009D168D" w:rsidRPr="009D168D" w:rsidRDefault="004D3F32" w:rsidP="009D168D">
      <w:pPr>
        <w:pStyle w:val="ListParagraph"/>
        <w:numPr>
          <w:ilvl w:val="0"/>
          <w:numId w:val="1"/>
        </w:numPr>
        <w:spacing w:after="0" w:line="240" w:lineRule="auto"/>
        <w:ind w:left="360" w:right="2160" w:hanging="180"/>
        <w:rPr>
          <w:rFonts w:ascii="BentonSans Black" w:hAnsi="BentonSans Black"/>
          <w:b/>
          <w:i/>
          <w:sz w:val="24"/>
        </w:rPr>
      </w:pPr>
      <w:r>
        <w:rPr>
          <w:rFonts w:ascii="BentonSans" w:hAnsi="BentonSans"/>
          <w:sz w:val="20"/>
        </w:rPr>
        <w:t xml:space="preserve">Complete the electronic nomination form and upload required documentation </w:t>
      </w:r>
      <w:r w:rsidRPr="008658DD">
        <w:rPr>
          <w:rFonts w:ascii="BentonSans" w:hAnsi="BentonSans"/>
          <w:sz w:val="20"/>
        </w:rPr>
        <w:t>online at</w:t>
      </w:r>
      <w:r w:rsidR="002206F7">
        <w:rPr>
          <w:rFonts w:ascii="BentonSans" w:hAnsi="BentonSans"/>
          <w:sz w:val="20"/>
        </w:rPr>
        <w:t xml:space="preserve"> </w:t>
      </w:r>
      <w:hyperlink r:id="rId7" w:history="1">
        <w:r w:rsidR="002206F7" w:rsidRPr="002206F7">
          <w:rPr>
            <w:rFonts w:ascii="BentonSans" w:hAnsi="BentonSans"/>
            <w:color w:val="0000FF"/>
            <w:sz w:val="20"/>
            <w:szCs w:val="20"/>
            <w:u w:val="single"/>
          </w:rPr>
          <w:t>https://academicaffairs.iupui.edu/Faculty-Affairs/Honors-Awards/IUPUI-Campus-Awards/CivicEngagementFaculty/</w:t>
        </w:r>
      </w:hyperlink>
    </w:p>
    <w:p w14:paraId="3D5CFE6A" w14:textId="77777777" w:rsidR="009D168D" w:rsidRPr="009D168D" w:rsidRDefault="009D168D" w:rsidP="009D168D">
      <w:pPr>
        <w:spacing w:after="0" w:line="240" w:lineRule="auto"/>
        <w:ind w:right="2160"/>
        <w:rPr>
          <w:rFonts w:ascii="BentonSans Black" w:hAnsi="BentonSans Black"/>
          <w:b/>
          <w:i/>
          <w:sz w:val="24"/>
        </w:rPr>
      </w:pPr>
    </w:p>
    <w:p w14:paraId="3398F563" w14:textId="77777777" w:rsidR="004D3F32" w:rsidRPr="009D168D" w:rsidRDefault="004D3F32" w:rsidP="002206F7">
      <w:pPr>
        <w:spacing w:after="0"/>
        <w:rPr>
          <w:rFonts w:ascii="BentonSans" w:hAnsi="BentonSans"/>
          <w:b/>
          <w:i/>
          <w:sz w:val="20"/>
        </w:rPr>
      </w:pPr>
      <w:r w:rsidRPr="00A66B6D">
        <w:rPr>
          <w:rFonts w:ascii="BentonSans Black" w:hAnsi="BentonSans Black"/>
          <w:b/>
          <w:i/>
          <w:sz w:val="24"/>
        </w:rPr>
        <w:t>Documentation</w:t>
      </w:r>
      <w:r w:rsidR="009D168D">
        <w:rPr>
          <w:rFonts w:ascii="BentonSans" w:hAnsi="BentonSans"/>
          <w:b/>
          <w:i/>
          <w:sz w:val="20"/>
        </w:rPr>
        <w:br/>
      </w:r>
      <w:r w:rsidRPr="004D3F32">
        <w:rPr>
          <w:rFonts w:ascii="BentonSans" w:hAnsi="BentonSans"/>
          <w:sz w:val="20"/>
        </w:rPr>
        <w:t>All suppo</w:t>
      </w:r>
      <w:r>
        <w:rPr>
          <w:rFonts w:ascii="BentonSans" w:hAnsi="BentonSans"/>
          <w:sz w:val="20"/>
        </w:rPr>
        <w:t>rting documentation for the nomination must be submitted electronically an</w:t>
      </w:r>
      <w:r w:rsidR="009D168D">
        <w:rPr>
          <w:rFonts w:ascii="BentonSans" w:hAnsi="BentonSans"/>
          <w:sz w:val="20"/>
        </w:rPr>
        <w:t>d should include the following:</w:t>
      </w:r>
    </w:p>
    <w:p w14:paraId="0E0A9861" w14:textId="77777777" w:rsidR="008658DD" w:rsidRDefault="004D3F32" w:rsidP="009D168D">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w:t>
      </w:r>
      <w:r w:rsidRPr="004D3F32">
        <w:rPr>
          <w:rFonts w:ascii="BentonSans" w:hAnsi="BentonSans"/>
          <w:b/>
          <w:sz w:val="20"/>
        </w:rPr>
        <w:t>omination letter</w:t>
      </w:r>
    </w:p>
    <w:p w14:paraId="47848AAB" w14:textId="77777777" w:rsidR="008658DD" w:rsidRPr="008658DD" w:rsidRDefault="002206F7"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 xml:space="preserve">Candidate’s </w:t>
      </w:r>
      <w:r w:rsidR="008658DD" w:rsidRPr="008658DD">
        <w:rPr>
          <w:rFonts w:ascii="BentonSans" w:hAnsi="BentonSans"/>
          <w:b/>
          <w:sz w:val="20"/>
        </w:rPr>
        <w:t>Curriculum Vitae</w:t>
      </w:r>
      <w:r>
        <w:rPr>
          <w:rFonts w:ascii="BentonSans" w:hAnsi="BentonSans"/>
          <w:b/>
          <w:sz w:val="20"/>
        </w:rPr>
        <w:t xml:space="preserve"> (CV)</w:t>
      </w:r>
    </w:p>
    <w:p w14:paraId="42C89C43" w14:textId="77777777" w:rsidR="008658DD" w:rsidRPr="009D168D" w:rsidRDefault="009D168D" w:rsidP="009D168D">
      <w:pPr>
        <w:pStyle w:val="ListParagraph"/>
        <w:numPr>
          <w:ilvl w:val="0"/>
          <w:numId w:val="1"/>
        </w:numPr>
        <w:spacing w:line="240" w:lineRule="auto"/>
        <w:ind w:left="360" w:right="2160" w:hanging="180"/>
        <w:rPr>
          <w:rFonts w:ascii="BentonSans" w:hAnsi="BentonSans"/>
          <w:sz w:val="20"/>
        </w:rPr>
      </w:pPr>
      <w:r>
        <w:rPr>
          <w:rFonts w:ascii="BentonSans" w:hAnsi="BentonSans"/>
          <w:b/>
          <w:sz w:val="20"/>
        </w:rPr>
        <w:t>A narrative of no more than ten (10) pages</w:t>
      </w:r>
    </w:p>
    <w:p w14:paraId="251F7D86" w14:textId="77777777" w:rsidR="009D168D" w:rsidRPr="009D168D" w:rsidRDefault="009D168D" w:rsidP="009D168D">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No more than</w:t>
      </w:r>
      <w:r w:rsidR="002206F7">
        <w:rPr>
          <w:rFonts w:ascii="BentonSans" w:hAnsi="BentonSans"/>
          <w:b/>
          <w:sz w:val="20"/>
        </w:rPr>
        <w:t xml:space="preserve"> five</w:t>
      </w:r>
      <w:r>
        <w:rPr>
          <w:rFonts w:ascii="BentonSans" w:hAnsi="BentonSans"/>
          <w:b/>
          <w:sz w:val="20"/>
        </w:rPr>
        <w:t xml:space="preserve"> </w:t>
      </w:r>
      <w:r w:rsidR="002206F7">
        <w:rPr>
          <w:rFonts w:ascii="BentonSans" w:hAnsi="BentonSans"/>
          <w:b/>
          <w:sz w:val="20"/>
        </w:rPr>
        <w:t>(</w:t>
      </w:r>
      <w:r>
        <w:rPr>
          <w:rFonts w:ascii="BentonSans" w:hAnsi="BentonSans"/>
          <w:b/>
          <w:sz w:val="20"/>
        </w:rPr>
        <w:t>5</w:t>
      </w:r>
      <w:r w:rsidR="002206F7">
        <w:rPr>
          <w:rFonts w:ascii="BentonSans" w:hAnsi="BentonSans"/>
          <w:b/>
          <w:sz w:val="20"/>
        </w:rPr>
        <w:t>)</w:t>
      </w:r>
      <w:r>
        <w:rPr>
          <w:rFonts w:ascii="BentonSans" w:hAnsi="BentonSans"/>
          <w:b/>
          <w:sz w:val="20"/>
        </w:rPr>
        <w:t xml:space="preserve"> letters of support</w:t>
      </w:r>
    </w:p>
    <w:p w14:paraId="441F4696" w14:textId="77777777" w:rsidR="008658DD" w:rsidRDefault="008658DD" w:rsidP="00015C4A">
      <w:pPr>
        <w:spacing w:after="0"/>
        <w:rPr>
          <w:rFonts w:ascii="BentonSans" w:hAnsi="BentonSans"/>
          <w:sz w:val="20"/>
        </w:rPr>
      </w:pPr>
      <w:r w:rsidRPr="008658DD">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7EE3B836" w14:textId="77777777" w:rsidR="00015C4A" w:rsidRDefault="00015C4A" w:rsidP="00015C4A">
      <w:pPr>
        <w:contextualSpacing/>
        <w:rPr>
          <w:rFonts w:ascii="BentonSans" w:hAnsi="BentonSans"/>
          <w:sz w:val="20"/>
        </w:rPr>
      </w:pPr>
    </w:p>
    <w:p w14:paraId="011EFA04" w14:textId="77777777" w:rsidR="00015C4A" w:rsidRDefault="00015C4A" w:rsidP="00015C4A">
      <w:pPr>
        <w:contextualSpacing/>
        <w:rPr>
          <w:rFonts w:ascii="BentonSans" w:hAnsi="BentonSans"/>
          <w:sz w:val="20"/>
        </w:rPr>
      </w:pPr>
      <w:r>
        <w:rPr>
          <w:rFonts w:ascii="BentonSans" w:hAnsi="BentonSans"/>
          <w:sz w:val="20"/>
        </w:rPr>
        <w:t>In addition to the required documentation, please provide the following when completing the nomination form online:</w:t>
      </w:r>
    </w:p>
    <w:p w14:paraId="1C6A0B73"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sidRPr="00015C4A">
        <w:rPr>
          <w:rFonts w:ascii="BentonSans" w:hAnsi="BentonSans"/>
          <w:b/>
          <w:sz w:val="20"/>
        </w:rPr>
        <w:t>Nominee Information</w:t>
      </w:r>
      <w:r>
        <w:rPr>
          <w:rFonts w:ascii="BentonSans" w:hAnsi="BentonSans"/>
          <w:b/>
          <w:sz w:val="20"/>
        </w:rPr>
        <w:t xml:space="preserve">: </w:t>
      </w:r>
      <w:r w:rsidRPr="00015C4A">
        <w:rPr>
          <w:rFonts w:ascii="BentonSans" w:hAnsi="BentonSans"/>
          <w:sz w:val="20"/>
        </w:rPr>
        <w:t>First</w:t>
      </w:r>
      <w:r w:rsidR="002206F7">
        <w:rPr>
          <w:rFonts w:ascii="BentonSans" w:hAnsi="BentonSans"/>
          <w:sz w:val="20"/>
        </w:rPr>
        <w:t xml:space="preserve"> and last name; university ID#;</w:t>
      </w:r>
      <w:r w:rsidRPr="00015C4A">
        <w:rPr>
          <w:rFonts w:ascii="BentonSans" w:hAnsi="BentonSans"/>
          <w:sz w:val="20"/>
        </w:rPr>
        <w:t xml:space="preserve"> school; department; campus address; e-mail address; and phone number</w:t>
      </w:r>
    </w:p>
    <w:p w14:paraId="2B4603C3"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First and last name; university ID#; school; department; campus address; e-mail address; and phone number</w:t>
      </w:r>
    </w:p>
    <w:p w14:paraId="380B0BAC" w14:textId="77777777" w:rsidR="00015C4A" w:rsidRDefault="00015C4A" w:rsidP="00015C4A">
      <w:pPr>
        <w:contextualSpacing/>
        <w:rPr>
          <w:rFonts w:ascii="BentonSans" w:hAnsi="BentonSans"/>
          <w:sz w:val="20"/>
        </w:rPr>
      </w:pPr>
      <w:r>
        <w:rPr>
          <w:rFonts w:ascii="BentonSans" w:hAnsi="BentonSans"/>
          <w:b/>
          <w:sz w:val="20"/>
        </w:rPr>
        <w:t>Note:</w:t>
      </w:r>
      <w:r>
        <w:rPr>
          <w:rFonts w:ascii="BentonSans" w:hAnsi="BentonSans"/>
          <w:sz w:val="20"/>
        </w:rPr>
        <w:t xml:space="preserve"> For jointly prepared nominations, only one nominator’s information can be entered as a contact. All other nominators can be accounted for at the end of the nomination letter.</w:t>
      </w:r>
    </w:p>
    <w:p w14:paraId="1ACB8DAE" w14:textId="77777777" w:rsidR="004573D4" w:rsidRDefault="004573D4" w:rsidP="00015C4A">
      <w:pPr>
        <w:contextualSpacing/>
        <w:rPr>
          <w:rFonts w:ascii="BentonSans" w:hAnsi="BentonSans"/>
          <w:sz w:val="20"/>
        </w:rPr>
      </w:pPr>
    </w:p>
    <w:p w14:paraId="0E07133F" w14:textId="42739E90" w:rsidR="001127CD" w:rsidRDefault="004573D4" w:rsidP="00E035DD">
      <w:pPr>
        <w:spacing w:after="0"/>
        <w:contextualSpacing/>
        <w:rPr>
          <w:rFonts w:ascii="BentonSans" w:hAnsi="BentonSans"/>
          <w:b/>
          <w:i/>
          <w:color w:val="A90533"/>
          <w:sz w:val="20"/>
        </w:rPr>
      </w:pPr>
      <w:r w:rsidRPr="001127CD">
        <w:rPr>
          <w:rFonts w:ascii="BentonSans" w:hAnsi="BentonSans"/>
          <w:b/>
          <w:sz w:val="20"/>
        </w:rPr>
        <w:t>Nomination Deadline</w:t>
      </w:r>
      <w:r>
        <w:rPr>
          <w:rFonts w:ascii="BentonSans" w:hAnsi="BentonSans"/>
          <w:sz w:val="20"/>
        </w:rPr>
        <w:t xml:space="preserve">: </w:t>
      </w:r>
      <w:r w:rsidRPr="00DD5153">
        <w:rPr>
          <w:rFonts w:ascii="BentonSans" w:hAnsi="BentonSans"/>
          <w:sz w:val="20"/>
        </w:rPr>
        <w:t xml:space="preserve">Nominations must be submitted online no later than </w:t>
      </w:r>
      <w:r w:rsidR="0031697A">
        <w:rPr>
          <w:rFonts w:ascii="BentonSans" w:hAnsi="BentonSans"/>
          <w:b/>
          <w:i/>
          <w:color w:val="A90533"/>
          <w:sz w:val="20"/>
        </w:rPr>
        <w:t xml:space="preserve">midnight on </w:t>
      </w:r>
      <w:r w:rsidR="000941CE">
        <w:rPr>
          <w:rFonts w:ascii="BentonSans" w:hAnsi="BentonSans"/>
          <w:b/>
          <w:i/>
          <w:color w:val="A90533"/>
          <w:sz w:val="20"/>
        </w:rPr>
        <w:t>Mon</w:t>
      </w:r>
      <w:r w:rsidR="0031697A">
        <w:rPr>
          <w:rFonts w:ascii="BentonSans" w:hAnsi="BentonSans"/>
          <w:b/>
          <w:i/>
          <w:color w:val="A90533"/>
          <w:sz w:val="20"/>
        </w:rPr>
        <w:t xml:space="preserve">day, January </w:t>
      </w:r>
      <w:r w:rsidR="000941CE">
        <w:rPr>
          <w:rFonts w:ascii="BentonSans" w:hAnsi="BentonSans"/>
          <w:b/>
          <w:i/>
          <w:color w:val="A90533"/>
          <w:sz w:val="20"/>
        </w:rPr>
        <w:t>15</w:t>
      </w:r>
      <w:r w:rsidR="0031697A">
        <w:rPr>
          <w:rFonts w:ascii="BentonSans" w:hAnsi="BentonSans"/>
          <w:b/>
          <w:i/>
          <w:color w:val="A90533"/>
          <w:sz w:val="20"/>
        </w:rPr>
        <w:t>, 202</w:t>
      </w:r>
      <w:r w:rsidR="000941CE">
        <w:rPr>
          <w:rFonts w:ascii="BentonSans" w:hAnsi="BentonSans"/>
          <w:b/>
          <w:i/>
          <w:color w:val="A90533"/>
          <w:sz w:val="20"/>
        </w:rPr>
        <w:t>4</w:t>
      </w:r>
      <w:r w:rsidR="00E035DD" w:rsidRPr="00E035DD">
        <w:rPr>
          <w:rFonts w:ascii="BentonSans" w:hAnsi="BentonSans"/>
          <w:b/>
          <w:i/>
          <w:color w:val="A90533"/>
          <w:sz w:val="20"/>
        </w:rPr>
        <w:t>.</w:t>
      </w:r>
    </w:p>
    <w:p w14:paraId="407A12DB" w14:textId="77777777" w:rsidR="00E035DD" w:rsidRDefault="00E035DD" w:rsidP="00E035DD">
      <w:pPr>
        <w:spacing w:after="0"/>
        <w:contextualSpacing/>
        <w:rPr>
          <w:rFonts w:ascii="BentonSans" w:hAnsi="BentonSans"/>
          <w:sz w:val="20"/>
        </w:rPr>
      </w:pPr>
    </w:p>
    <w:p w14:paraId="26323387" w14:textId="77777777" w:rsidR="00B733E3" w:rsidRPr="00A66B6D" w:rsidRDefault="00B733E3" w:rsidP="00B733E3">
      <w:pPr>
        <w:spacing w:after="0" w:line="240" w:lineRule="auto"/>
        <w:ind w:right="2160"/>
        <w:contextualSpacing/>
        <w:rPr>
          <w:rFonts w:ascii="BentonSans Black" w:hAnsi="BentonSans Black"/>
          <w:b/>
          <w:i/>
          <w:sz w:val="24"/>
        </w:rPr>
      </w:pPr>
      <w:r w:rsidRPr="00A66B6D">
        <w:rPr>
          <w:rFonts w:ascii="BentonSans Black" w:hAnsi="BentonSans Black"/>
          <w:b/>
          <w:i/>
          <w:sz w:val="24"/>
        </w:rPr>
        <w:t>Selection Process</w:t>
      </w:r>
    </w:p>
    <w:p w14:paraId="6EEF7EF5" w14:textId="77777777" w:rsidR="009D168D" w:rsidRPr="004814A9" w:rsidRDefault="009D168D" w:rsidP="007226FB">
      <w:pPr>
        <w:spacing w:after="0" w:line="240" w:lineRule="auto"/>
        <w:ind w:right="2160"/>
        <w:rPr>
          <w:rFonts w:ascii="BentonSans" w:hAnsi="BentonSans"/>
        </w:rPr>
      </w:pPr>
      <w:r w:rsidRPr="004814A9">
        <w:rPr>
          <w:rFonts w:ascii="BentonSans" w:hAnsi="BentonSans"/>
        </w:rPr>
        <w:t xml:space="preserve">The review committee will recommend at least two people for the award, with the final selection being made by the Chancellor. Awards may not be given every year.  </w:t>
      </w:r>
    </w:p>
    <w:p w14:paraId="74E670B1" w14:textId="77777777" w:rsidR="007226FB" w:rsidRDefault="007226FB" w:rsidP="007226FB">
      <w:pPr>
        <w:spacing w:after="0" w:line="240" w:lineRule="auto"/>
        <w:ind w:right="2160"/>
        <w:rPr>
          <w:rFonts w:ascii="BentonSans" w:hAnsi="BentonSans"/>
          <w:sz w:val="20"/>
        </w:rPr>
      </w:pPr>
    </w:p>
    <w:p w14:paraId="477E2186" w14:textId="37E98E94" w:rsidR="007226FB" w:rsidRDefault="007226FB" w:rsidP="007226FB">
      <w:pPr>
        <w:spacing w:after="0" w:line="240" w:lineRule="auto"/>
        <w:ind w:right="2160"/>
        <w:rPr>
          <w:rFonts w:ascii="BentonSans" w:hAnsi="BentonSans"/>
          <w:sz w:val="20"/>
        </w:rPr>
      </w:pPr>
      <w:r>
        <w:rPr>
          <w:rFonts w:ascii="BentonSans" w:hAnsi="BentonSans"/>
          <w:sz w:val="20"/>
        </w:rPr>
        <w:t xml:space="preserve">Successful candidates will be honored at the Chancellor’s Academic Honors Convocation held on </w:t>
      </w:r>
      <w:r w:rsidR="0031697A">
        <w:rPr>
          <w:rFonts w:ascii="BentonSans" w:hAnsi="BentonSans"/>
          <w:b/>
          <w:sz w:val="20"/>
        </w:rPr>
        <w:t xml:space="preserve">Thursday, April </w:t>
      </w:r>
      <w:r w:rsidR="000941CE">
        <w:rPr>
          <w:rFonts w:ascii="BentonSans" w:hAnsi="BentonSans"/>
          <w:b/>
          <w:sz w:val="20"/>
        </w:rPr>
        <w:t>18</w:t>
      </w:r>
      <w:r w:rsidR="0031697A">
        <w:rPr>
          <w:rFonts w:ascii="BentonSans" w:hAnsi="BentonSans"/>
          <w:b/>
          <w:sz w:val="20"/>
        </w:rPr>
        <w:t>, 202</w:t>
      </w:r>
      <w:r w:rsidR="000941CE">
        <w:rPr>
          <w:rFonts w:ascii="BentonSans" w:hAnsi="BentonSans"/>
          <w:b/>
          <w:sz w:val="20"/>
        </w:rPr>
        <w:t>4</w:t>
      </w:r>
      <w:r w:rsidR="0031697A">
        <w:rPr>
          <w:rFonts w:ascii="BentonSans" w:hAnsi="BentonSans"/>
          <w:b/>
          <w:sz w:val="20"/>
        </w:rPr>
        <w:t>, at 3 p.m. in the Hine Hall Auditorium</w:t>
      </w:r>
      <w:r>
        <w:rPr>
          <w:rFonts w:ascii="BentonSans" w:hAnsi="BentonSans"/>
          <w:sz w:val="20"/>
        </w:rPr>
        <w:t>.</w:t>
      </w:r>
    </w:p>
    <w:p w14:paraId="4CD8E8D2" w14:textId="77777777" w:rsidR="007226FB" w:rsidRDefault="007226FB" w:rsidP="007226FB">
      <w:pPr>
        <w:spacing w:after="0" w:line="240" w:lineRule="auto"/>
        <w:ind w:right="2160"/>
        <w:rPr>
          <w:rFonts w:ascii="BentonSans" w:hAnsi="BentonSans"/>
          <w:sz w:val="20"/>
        </w:rPr>
      </w:pPr>
    </w:p>
    <w:p w14:paraId="3868A3A5" w14:textId="77777777" w:rsidR="007226FB" w:rsidRDefault="007226FB" w:rsidP="007226FB">
      <w:pPr>
        <w:spacing w:after="0" w:line="240" w:lineRule="auto"/>
        <w:ind w:right="2160"/>
        <w:rPr>
          <w:rFonts w:ascii="BentonSans" w:hAnsi="BentonSans"/>
          <w:sz w:val="20"/>
        </w:rPr>
      </w:pPr>
    </w:p>
    <w:p w14:paraId="215AC53D" w14:textId="77777777" w:rsidR="00A458E0" w:rsidRDefault="00A458E0" w:rsidP="004B3488">
      <w:pPr>
        <w:spacing w:after="0" w:line="240" w:lineRule="auto"/>
        <w:ind w:right="2160"/>
        <w:rPr>
          <w:rFonts w:ascii="BentonSans" w:hAnsi="BentonSans"/>
          <w:sz w:val="20"/>
        </w:rPr>
      </w:pPr>
    </w:p>
    <w:p w14:paraId="324D75E6" w14:textId="77777777" w:rsidR="004573D4" w:rsidRDefault="004573D4" w:rsidP="004B3488">
      <w:pPr>
        <w:spacing w:after="0" w:line="240" w:lineRule="auto"/>
        <w:ind w:right="2160"/>
        <w:rPr>
          <w:rFonts w:ascii="BentonSans" w:hAnsi="BentonSans"/>
          <w:sz w:val="20"/>
          <w:szCs w:val="20"/>
        </w:rPr>
      </w:pPr>
    </w:p>
    <w:p w14:paraId="60B0CFFF" w14:textId="77777777" w:rsidR="004573D4" w:rsidRPr="00504F2F" w:rsidRDefault="004573D4" w:rsidP="004573D4">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 xml:space="preserve">Questions </w:t>
      </w:r>
    </w:p>
    <w:p w14:paraId="7A284280" w14:textId="77777777" w:rsidR="004573D4" w:rsidRPr="004573D4" w:rsidRDefault="004573D4" w:rsidP="004573D4">
      <w:pPr>
        <w:spacing w:after="0" w:line="240" w:lineRule="auto"/>
        <w:ind w:right="2160"/>
        <w:rPr>
          <w:rFonts w:ascii="BentonSans" w:hAnsi="BentonSans"/>
          <w:sz w:val="24"/>
          <w:szCs w:val="20"/>
        </w:rPr>
      </w:pPr>
      <w:r w:rsidRPr="004573D4">
        <w:rPr>
          <w:rFonts w:ascii="BentonSans" w:hAnsi="BentonSans"/>
          <w:sz w:val="24"/>
          <w:szCs w:val="20"/>
        </w:rPr>
        <w:t xml:space="preserve">Inquiries regarding eligibility and criteria should be directed to </w:t>
      </w:r>
      <w:r w:rsidR="00163D7A">
        <w:rPr>
          <w:rFonts w:ascii="BentonSans" w:hAnsi="BentonSans"/>
          <w:sz w:val="24"/>
          <w:szCs w:val="20"/>
        </w:rPr>
        <w:t>Jerry Daday</w:t>
      </w:r>
      <w:r w:rsidR="002253A2">
        <w:rPr>
          <w:rFonts w:ascii="BentonSans" w:hAnsi="BentonSans"/>
          <w:sz w:val="24"/>
          <w:szCs w:val="20"/>
        </w:rPr>
        <w:t xml:space="preserve"> (</w:t>
      </w:r>
      <w:hyperlink r:id="rId8" w:history="1">
        <w:r w:rsidR="00163D7A">
          <w:rPr>
            <w:rFonts w:ascii="BentonSans" w:hAnsi="BentonSans"/>
            <w:color w:val="0000FF"/>
            <w:sz w:val="24"/>
            <w:u w:val="single"/>
          </w:rPr>
          <w:t>jdaday@iupui.edu</w:t>
        </w:r>
      </w:hyperlink>
      <w:r w:rsidRPr="004573D4">
        <w:rPr>
          <w:rFonts w:ascii="BentonSans" w:hAnsi="BentonSans"/>
          <w:sz w:val="24"/>
          <w:szCs w:val="20"/>
        </w:rPr>
        <w:t>),</w:t>
      </w:r>
      <w:r w:rsidR="002253A2">
        <w:rPr>
          <w:rFonts w:ascii="BentonSans" w:hAnsi="BentonSans"/>
          <w:sz w:val="24"/>
          <w:szCs w:val="20"/>
        </w:rPr>
        <w:t xml:space="preserve"> </w:t>
      </w:r>
      <w:r w:rsidR="00163D7A">
        <w:rPr>
          <w:rFonts w:ascii="BentonSans" w:hAnsi="BentonSans"/>
          <w:sz w:val="24"/>
          <w:szCs w:val="20"/>
        </w:rPr>
        <w:t>executive associate dean</w:t>
      </w:r>
      <w:r w:rsidRPr="004573D4">
        <w:rPr>
          <w:rFonts w:ascii="BentonSans" w:hAnsi="BentonSans"/>
          <w:sz w:val="24"/>
          <w:szCs w:val="20"/>
        </w:rPr>
        <w:t xml:space="preserve"> of the </w:t>
      </w:r>
      <w:r w:rsidR="00163D7A">
        <w:rPr>
          <w:rFonts w:ascii="BentonSans" w:hAnsi="BentonSans"/>
          <w:sz w:val="24"/>
          <w:szCs w:val="20"/>
        </w:rPr>
        <w:t>Institute for Engaged Learning</w:t>
      </w:r>
      <w:r w:rsidRPr="004573D4">
        <w:rPr>
          <w:rFonts w:ascii="BentonSans" w:hAnsi="BentonSans"/>
          <w:sz w:val="24"/>
          <w:szCs w:val="20"/>
        </w:rPr>
        <w:t xml:space="preserve">. </w:t>
      </w:r>
    </w:p>
    <w:p w14:paraId="758C12AC" w14:textId="77777777" w:rsidR="004573D4" w:rsidRDefault="004573D4" w:rsidP="004573D4">
      <w:pPr>
        <w:spacing w:after="0" w:line="240" w:lineRule="auto"/>
        <w:ind w:right="2160"/>
        <w:rPr>
          <w:rFonts w:ascii="BentonSans" w:hAnsi="BentonSans"/>
          <w:sz w:val="20"/>
        </w:rPr>
      </w:pPr>
    </w:p>
    <w:p w14:paraId="19B53929" w14:textId="77777777" w:rsidR="004573D4" w:rsidRPr="00504F2F" w:rsidRDefault="004573D4" w:rsidP="004573D4">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Nomination Deadline</w:t>
      </w:r>
    </w:p>
    <w:p w14:paraId="585EAA4B" w14:textId="00867580" w:rsidR="00324C7F" w:rsidRPr="008C4B5F" w:rsidRDefault="004573D4" w:rsidP="008C4B5F">
      <w:pPr>
        <w:spacing w:line="240" w:lineRule="auto"/>
        <w:ind w:right="720"/>
        <w:rPr>
          <w:rFonts w:ascii="BentonSans" w:hAnsi="BentonSans"/>
          <w:sz w:val="24"/>
          <w:szCs w:val="24"/>
        </w:rPr>
      </w:pPr>
      <w:r w:rsidRPr="00504F2F">
        <w:rPr>
          <w:rFonts w:ascii="BentonSans" w:hAnsi="BentonSans"/>
          <w:sz w:val="24"/>
          <w:szCs w:val="24"/>
        </w:rPr>
        <w:t xml:space="preserve">Nominations must be submitted online no later than </w:t>
      </w:r>
      <w:r w:rsidR="00E035DD" w:rsidRPr="00E035DD">
        <w:rPr>
          <w:rFonts w:ascii="BentonSans" w:hAnsi="BentonSans"/>
          <w:b/>
          <w:i/>
          <w:color w:val="A90533"/>
          <w:sz w:val="24"/>
          <w:szCs w:val="24"/>
        </w:rPr>
        <w:t>midn</w:t>
      </w:r>
      <w:r w:rsidR="0031697A">
        <w:rPr>
          <w:rFonts w:ascii="BentonSans" w:hAnsi="BentonSans"/>
          <w:b/>
          <w:i/>
          <w:color w:val="A90533"/>
          <w:sz w:val="24"/>
          <w:szCs w:val="24"/>
        </w:rPr>
        <w:t xml:space="preserve">ight on </w:t>
      </w:r>
      <w:r w:rsidR="000941CE">
        <w:rPr>
          <w:rFonts w:ascii="BentonSans" w:hAnsi="BentonSans"/>
          <w:b/>
          <w:i/>
          <w:color w:val="A90533"/>
          <w:sz w:val="24"/>
          <w:szCs w:val="24"/>
        </w:rPr>
        <w:t>Mon</w:t>
      </w:r>
      <w:r w:rsidR="0031697A">
        <w:rPr>
          <w:rFonts w:ascii="BentonSans" w:hAnsi="BentonSans"/>
          <w:b/>
          <w:i/>
          <w:color w:val="A90533"/>
          <w:sz w:val="24"/>
          <w:szCs w:val="24"/>
        </w:rPr>
        <w:t xml:space="preserve">day, January </w:t>
      </w:r>
      <w:r w:rsidR="000941CE">
        <w:rPr>
          <w:rFonts w:ascii="BentonSans" w:hAnsi="BentonSans"/>
          <w:b/>
          <w:i/>
          <w:color w:val="A90533"/>
          <w:sz w:val="24"/>
          <w:szCs w:val="24"/>
        </w:rPr>
        <w:t>15</w:t>
      </w:r>
      <w:r w:rsidR="0031697A">
        <w:rPr>
          <w:rFonts w:ascii="BentonSans" w:hAnsi="BentonSans"/>
          <w:b/>
          <w:i/>
          <w:color w:val="A90533"/>
          <w:sz w:val="24"/>
          <w:szCs w:val="24"/>
        </w:rPr>
        <w:t>, 202</w:t>
      </w:r>
      <w:r w:rsidR="000941CE">
        <w:rPr>
          <w:rFonts w:ascii="BentonSans" w:hAnsi="BentonSans"/>
          <w:b/>
          <w:i/>
          <w:color w:val="A90533"/>
          <w:sz w:val="24"/>
          <w:szCs w:val="24"/>
        </w:rPr>
        <w:t>4</w:t>
      </w:r>
      <w:r w:rsidRPr="00504F2F">
        <w:rPr>
          <w:rFonts w:ascii="BentonSans" w:hAnsi="BentonSans"/>
          <w:b/>
          <w:i/>
          <w:color w:val="A90533"/>
          <w:sz w:val="24"/>
          <w:szCs w:val="24"/>
        </w:rPr>
        <w:t>.</w:t>
      </w:r>
    </w:p>
    <w:sectPr w:rsidR="00324C7F" w:rsidRPr="008C4B5F" w:rsidSect="00BA6BB9">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7BD6" w14:textId="77777777" w:rsidR="007D06D0" w:rsidRDefault="007D06D0" w:rsidP="007D06D0">
      <w:pPr>
        <w:spacing w:after="0" w:line="240" w:lineRule="auto"/>
      </w:pPr>
      <w:r>
        <w:separator/>
      </w:r>
    </w:p>
  </w:endnote>
  <w:endnote w:type="continuationSeparator" w:id="0">
    <w:p w14:paraId="5B74D397"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lack">
    <w:panose1 w:val="02000804030000020004"/>
    <w:charset w:val="00"/>
    <w:family w:val="auto"/>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D544" w14:textId="77777777" w:rsidR="007D06D0" w:rsidRDefault="007D06D0" w:rsidP="007D06D0">
      <w:pPr>
        <w:spacing w:after="0" w:line="240" w:lineRule="auto"/>
      </w:pPr>
      <w:r>
        <w:separator/>
      </w:r>
    </w:p>
  </w:footnote>
  <w:footnote w:type="continuationSeparator" w:id="0">
    <w:p w14:paraId="60D624B9"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7D76" w14:textId="77777777" w:rsidR="007D06D0" w:rsidRPr="000D4D2C" w:rsidRDefault="000941CE" w:rsidP="000D4D2C">
    <w:pPr>
      <w:pStyle w:val="Header"/>
    </w:pPr>
    <w:r>
      <w:rPr>
        <w:noProof/>
      </w:rPr>
      <w:pict w14:anchorId="4926C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D632E"/>
    <w:multiLevelType w:val="hybridMultilevel"/>
    <w:tmpl w:val="3466B8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088390">
    <w:abstractNumId w:val="7"/>
  </w:num>
  <w:num w:numId="2" w16cid:durableId="1344667708">
    <w:abstractNumId w:val="4"/>
  </w:num>
  <w:num w:numId="3" w16cid:durableId="601425776">
    <w:abstractNumId w:val="10"/>
  </w:num>
  <w:num w:numId="4" w16cid:durableId="1862013334">
    <w:abstractNumId w:val="1"/>
  </w:num>
  <w:num w:numId="5" w16cid:durableId="933971769">
    <w:abstractNumId w:val="3"/>
  </w:num>
  <w:num w:numId="6" w16cid:durableId="1722746278">
    <w:abstractNumId w:val="0"/>
  </w:num>
  <w:num w:numId="7" w16cid:durableId="1346400346">
    <w:abstractNumId w:val="9"/>
  </w:num>
  <w:num w:numId="8" w16cid:durableId="685639481">
    <w:abstractNumId w:val="5"/>
  </w:num>
  <w:num w:numId="9" w16cid:durableId="225411030">
    <w:abstractNumId w:val="6"/>
  </w:num>
  <w:num w:numId="10" w16cid:durableId="1626345792">
    <w:abstractNumId w:val="2"/>
  </w:num>
  <w:num w:numId="11" w16cid:durableId="4976995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5C4A"/>
    <w:rsid w:val="00034B50"/>
    <w:rsid w:val="000941CE"/>
    <w:rsid w:val="000D4D2C"/>
    <w:rsid w:val="001127CD"/>
    <w:rsid w:val="00163D7A"/>
    <w:rsid w:val="001750A4"/>
    <w:rsid w:val="001F009E"/>
    <w:rsid w:val="002206F7"/>
    <w:rsid w:val="002253A2"/>
    <w:rsid w:val="00243D27"/>
    <w:rsid w:val="00276708"/>
    <w:rsid w:val="00284129"/>
    <w:rsid w:val="002955D2"/>
    <w:rsid w:val="0031697A"/>
    <w:rsid w:val="00324C7F"/>
    <w:rsid w:val="003B3637"/>
    <w:rsid w:val="003E2595"/>
    <w:rsid w:val="00407EB5"/>
    <w:rsid w:val="0044132D"/>
    <w:rsid w:val="00445BEA"/>
    <w:rsid w:val="004469B5"/>
    <w:rsid w:val="004573D4"/>
    <w:rsid w:val="004814A9"/>
    <w:rsid w:val="004B3488"/>
    <w:rsid w:val="004D3F32"/>
    <w:rsid w:val="00562724"/>
    <w:rsid w:val="00591106"/>
    <w:rsid w:val="005A0A7A"/>
    <w:rsid w:val="0061541A"/>
    <w:rsid w:val="006602EA"/>
    <w:rsid w:val="00692294"/>
    <w:rsid w:val="00717087"/>
    <w:rsid w:val="007226FB"/>
    <w:rsid w:val="007650C5"/>
    <w:rsid w:val="0079198F"/>
    <w:rsid w:val="007C042D"/>
    <w:rsid w:val="007D06D0"/>
    <w:rsid w:val="007F6521"/>
    <w:rsid w:val="00854557"/>
    <w:rsid w:val="00863D16"/>
    <w:rsid w:val="00864488"/>
    <w:rsid w:val="008658DD"/>
    <w:rsid w:val="0087717C"/>
    <w:rsid w:val="0089516B"/>
    <w:rsid w:val="008C4B5F"/>
    <w:rsid w:val="008D05BC"/>
    <w:rsid w:val="009370BA"/>
    <w:rsid w:val="00945E83"/>
    <w:rsid w:val="009D168D"/>
    <w:rsid w:val="009E16EB"/>
    <w:rsid w:val="00A458E0"/>
    <w:rsid w:val="00A66B6D"/>
    <w:rsid w:val="00B733E3"/>
    <w:rsid w:val="00B83130"/>
    <w:rsid w:val="00BA6BB9"/>
    <w:rsid w:val="00C83A69"/>
    <w:rsid w:val="00CC192C"/>
    <w:rsid w:val="00D46084"/>
    <w:rsid w:val="00DA7516"/>
    <w:rsid w:val="00DD5153"/>
    <w:rsid w:val="00E035DD"/>
    <w:rsid w:val="00F32B2F"/>
    <w:rsid w:val="00F6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9E0564F"/>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 w:type="paragraph" w:styleId="BalloonText">
    <w:name w:val="Balloon Text"/>
    <w:basedOn w:val="Normal"/>
    <w:link w:val="BalloonTextChar"/>
    <w:uiPriority w:val="99"/>
    <w:semiHidden/>
    <w:unhideWhenUsed/>
    <w:rsid w:val="0076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day@iupui.edu" TargetMode="External"/><Relationship Id="rId3" Type="http://schemas.openxmlformats.org/officeDocument/2006/relationships/settings" Target="settings.xml"/><Relationship Id="rId7" Type="http://schemas.openxmlformats.org/officeDocument/2006/relationships/hyperlink" Target="https://academicaffairs.iupui.edu/Faculty-Affairs/Honors-Awards/IUPUI-Campus-Awards/CivicEngagement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Torres, Genesis</cp:lastModifiedBy>
  <cp:revision>10</cp:revision>
  <cp:lastPrinted>2019-10-09T19:29:00Z</cp:lastPrinted>
  <dcterms:created xsi:type="dcterms:W3CDTF">2021-08-09T19:01:00Z</dcterms:created>
  <dcterms:modified xsi:type="dcterms:W3CDTF">2023-10-16T19:59:00Z</dcterms:modified>
</cp:coreProperties>
</file>