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E9E9" w14:textId="77777777" w:rsidR="000C5045" w:rsidRPr="000C5045" w:rsidRDefault="000C5045" w:rsidP="000C5045">
      <w:pPr>
        <w:outlineLvl w:val="0"/>
        <w:rPr>
          <w:rFonts w:ascii="inherit" w:eastAsia="Times New Roman" w:hAnsi="inherit" w:cs="Times New Roman"/>
          <w:color w:val="243142"/>
          <w:kern w:val="36"/>
          <w:sz w:val="48"/>
          <w:szCs w:val="48"/>
          <w14:ligatures w14:val="none"/>
        </w:rPr>
      </w:pPr>
      <w:r w:rsidRPr="000C5045">
        <w:rPr>
          <w:rFonts w:ascii="inherit" w:eastAsia="Times New Roman" w:hAnsi="inherit" w:cs="Times New Roman"/>
          <w:color w:val="243142"/>
          <w:kern w:val="36"/>
          <w:sz w:val="48"/>
          <w:szCs w:val="48"/>
          <w14:ligatures w14:val="none"/>
        </w:rPr>
        <w:t>Promotion and Tenure Guidelines</w:t>
      </w:r>
    </w:p>
    <w:p w14:paraId="6EB35720" w14:textId="77777777" w:rsidR="000C5045" w:rsidRPr="000C5045" w:rsidRDefault="000C5045" w:rsidP="000C5045">
      <w:pPr>
        <w:spacing w:before="100" w:beforeAutospacing="1"/>
        <w:rPr>
          <w:rFonts w:ascii="inherit" w:eastAsia="Times New Roman" w:hAnsi="inherit" w:cs="Times New Roman"/>
          <w:color w:val="4C5A69"/>
          <w:kern w:val="0"/>
          <w14:ligatures w14:val="none"/>
        </w:rPr>
      </w:pPr>
      <w:r w:rsidRPr="000C5045">
        <w:rPr>
          <w:rFonts w:ascii="inherit" w:eastAsia="Times New Roman" w:hAnsi="inherit" w:cs="Times New Roman"/>
          <w:color w:val="4C5A69"/>
          <w:kern w:val="0"/>
          <w14:ligatures w14:val="none"/>
        </w:rPr>
        <w:t>Last updated: August 2, 2023</w:t>
      </w:r>
    </w:p>
    <w:p w14:paraId="71224B67" w14:textId="77777777" w:rsidR="000C5045" w:rsidRPr="000C5045" w:rsidRDefault="000C5045" w:rsidP="000C5045">
      <w:pPr>
        <w:outlineLvl w:val="1"/>
        <w:rPr>
          <w:rFonts w:ascii="inherit" w:eastAsia="Times New Roman" w:hAnsi="inherit" w:cs="Times New Roman"/>
          <w:color w:val="243142"/>
          <w:kern w:val="0"/>
          <w:sz w:val="36"/>
          <w:szCs w:val="36"/>
          <w14:ligatures w14:val="none"/>
        </w:rPr>
      </w:pPr>
      <w:r w:rsidRPr="000C5045">
        <w:rPr>
          <w:rFonts w:ascii="inherit" w:eastAsia="Times New Roman" w:hAnsi="inherit" w:cs="Times New Roman"/>
          <w:color w:val="243142"/>
          <w:kern w:val="0"/>
          <w:sz w:val="36"/>
          <w:szCs w:val="36"/>
          <w14:ligatures w14:val="none"/>
        </w:rPr>
        <w:t>Standards of Achievement</w:t>
      </w:r>
    </w:p>
    <w:p w14:paraId="4BB39418"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The Indiana University Luddy School of Informatics, Computing, and Engineering in Indianapolis, adheres to the IUPUI campus guidelines for promotion and tenure (P&amp;T). School standards supersede campus standards, and departmental standards supersede School standards, only insofar as they require a higher or more substantive level of academic achievement than the campus guidelines do. This current document replaces all previous documents pertaining to promotion and tenure approved for the School of Informatics and the School of Library and Information Science.</w:t>
      </w:r>
    </w:p>
    <w:p w14:paraId="4345494A"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All candidates for academic advancement are advised to study the campus guidelines to understand the many quantitative and qualitative ways candidates may document and substantiate their achievement. It is the candidate’s responsibility to prepare for reviewers a dossier that accurately documents and persuasively explains the candidate’s academic achievement.</w:t>
      </w:r>
    </w:p>
    <w:p w14:paraId="54197D4A"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Academic advancement at IUPUI is awarded for excellence in scholarship. In line with campus standards, the </w:t>
      </w:r>
      <w:proofErr w:type="gramStart"/>
      <w:r w:rsidRPr="000C5045">
        <w:rPr>
          <w:rFonts w:ascii="BentonSans" w:eastAsia="Times New Roman" w:hAnsi="BentonSans" w:cs="Times New Roman"/>
          <w:color w:val="4C5A69"/>
          <w:kern w:val="0"/>
          <w14:ligatures w14:val="none"/>
        </w:rPr>
        <w:t>School</w:t>
      </w:r>
      <w:proofErr w:type="gramEnd"/>
      <w:r w:rsidRPr="000C5045">
        <w:rPr>
          <w:rFonts w:ascii="BentonSans" w:eastAsia="Times New Roman" w:hAnsi="BentonSans" w:cs="Times New Roman"/>
          <w:color w:val="4C5A69"/>
          <w:kern w:val="0"/>
          <w14:ligatures w14:val="none"/>
        </w:rPr>
        <w:t xml:space="preserve"> embraces a broad definition of scholarship, based on its conception as</w:t>
      </w:r>
    </w:p>
    <w:p w14:paraId="70E85ED0" w14:textId="77777777" w:rsidR="000C5045" w:rsidRPr="000C5045" w:rsidRDefault="000C5045" w:rsidP="000C5045">
      <w:pPr>
        <w:numPr>
          <w:ilvl w:val="0"/>
          <w:numId w:val="1"/>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the creation of new </w:t>
      </w:r>
      <w:proofErr w:type="gramStart"/>
      <w:r w:rsidRPr="000C5045">
        <w:rPr>
          <w:rFonts w:ascii="BentonSans" w:eastAsia="Times New Roman" w:hAnsi="BentonSans" w:cs="Times New Roman"/>
          <w:color w:val="4C5A69"/>
          <w:kern w:val="0"/>
          <w14:ligatures w14:val="none"/>
        </w:rPr>
        <w:t>knowledge;</w:t>
      </w:r>
      <w:proofErr w:type="gramEnd"/>
    </w:p>
    <w:p w14:paraId="1D8A5716" w14:textId="77777777" w:rsidR="000C5045" w:rsidRPr="000C5045" w:rsidRDefault="000C5045" w:rsidP="000C5045">
      <w:pPr>
        <w:numPr>
          <w:ilvl w:val="0"/>
          <w:numId w:val="1"/>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the dissemination of this knowledge in appropriate external </w:t>
      </w:r>
      <w:proofErr w:type="gramStart"/>
      <w:r w:rsidRPr="000C5045">
        <w:rPr>
          <w:rFonts w:ascii="BentonSans" w:eastAsia="Times New Roman" w:hAnsi="BentonSans" w:cs="Times New Roman"/>
          <w:color w:val="4C5A69"/>
          <w:kern w:val="0"/>
          <w14:ligatures w14:val="none"/>
        </w:rPr>
        <w:t>venues;</w:t>
      </w:r>
      <w:proofErr w:type="gramEnd"/>
    </w:p>
    <w:p w14:paraId="5F3BB4B1" w14:textId="77777777" w:rsidR="000C5045" w:rsidRPr="000C5045" w:rsidRDefault="000C5045" w:rsidP="000C5045">
      <w:pPr>
        <w:numPr>
          <w:ilvl w:val="0"/>
          <w:numId w:val="1"/>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the determination of its excellence through external peer review; and</w:t>
      </w:r>
    </w:p>
    <w:p w14:paraId="108FD201" w14:textId="77777777" w:rsidR="000C5045" w:rsidRPr="000C5045" w:rsidRDefault="000C5045" w:rsidP="000C5045">
      <w:pPr>
        <w:numPr>
          <w:ilvl w:val="0"/>
          <w:numId w:val="1"/>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documented demonstration the significant impact of the knowledge on thought and/or practice in its discipline, profession, or field of application beyond the campus.</w:t>
      </w:r>
    </w:p>
    <w:p w14:paraId="787832D2"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Like the campus, the </w:t>
      </w:r>
      <w:proofErr w:type="gramStart"/>
      <w:r w:rsidRPr="000C5045">
        <w:rPr>
          <w:rFonts w:ascii="BentonSans" w:eastAsia="Times New Roman" w:hAnsi="BentonSans" w:cs="Times New Roman"/>
          <w:color w:val="4C5A69"/>
          <w:kern w:val="0"/>
          <w14:ligatures w14:val="none"/>
        </w:rPr>
        <w:t>School</w:t>
      </w:r>
      <w:proofErr w:type="gramEnd"/>
      <w:r w:rsidRPr="000C5045">
        <w:rPr>
          <w:rFonts w:ascii="BentonSans" w:eastAsia="Times New Roman" w:hAnsi="BentonSans" w:cs="Times New Roman"/>
          <w:color w:val="4C5A69"/>
          <w:kern w:val="0"/>
          <w14:ligatures w14:val="none"/>
        </w:rPr>
        <w:t xml:space="preserve"> accepts the broad senses of knowledge as articulated in Boyer’s model of scholarship, and candidates are advised to study this model.</w:t>
      </w:r>
    </w:p>
    <w:p w14:paraId="3642A6EA"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Scholarly excellence is the goal of academic work, and the final determinant of a candidate’s qualification for academic advancement. However, because the concept of excellence can be multi-faceted or subject to a wide range of interpretations, candidates must explain the impact of their scholarship. In broad terms, the impact </w:t>
      </w:r>
      <w:r w:rsidRPr="000C5045">
        <w:rPr>
          <w:rFonts w:ascii="BentonSans" w:eastAsia="Times New Roman" w:hAnsi="BentonSans" w:cs="Times New Roman"/>
          <w:color w:val="4C5A69"/>
          <w:kern w:val="0"/>
          <w14:ligatures w14:val="none"/>
        </w:rPr>
        <w:lastRenderedPageBreak/>
        <w:t>of scholarship can be seen in its value and/or significance. Value is generally found in its use, practice, method, or application and is demonstrated when a scholarly product is accepted beyond the campus as useful to peers or to a broader audience of those knowledgeable in the field.</w:t>
      </w:r>
    </w:p>
    <w:p w14:paraId="360A25D1"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Significance is generally found in the thought and theory that advances professional or disciplinary understanding in its field. Value and significance are often intertwined and may not be easily distinguished from each other. The </w:t>
      </w:r>
      <w:proofErr w:type="gramStart"/>
      <w:r w:rsidRPr="000C5045">
        <w:rPr>
          <w:rFonts w:ascii="BentonSans" w:eastAsia="Times New Roman" w:hAnsi="BentonSans" w:cs="Times New Roman"/>
          <w:color w:val="4C5A69"/>
          <w:kern w:val="0"/>
          <w14:ligatures w14:val="none"/>
        </w:rPr>
        <w:t>School</w:t>
      </w:r>
      <w:proofErr w:type="gramEnd"/>
      <w:r w:rsidRPr="000C5045">
        <w:rPr>
          <w:rFonts w:ascii="BentonSans" w:eastAsia="Times New Roman" w:hAnsi="BentonSans" w:cs="Times New Roman"/>
          <w:color w:val="4C5A69"/>
          <w:kern w:val="0"/>
          <w14:ligatures w14:val="none"/>
        </w:rPr>
        <w:t xml:space="preserve"> is an academic institution and as such, its standards for academic advancement recognize first and foremost the importance of review by external scholarly peers in the most appropriate academic venues. In this document, the </w:t>
      </w:r>
      <w:proofErr w:type="gramStart"/>
      <w:r w:rsidRPr="000C5045">
        <w:rPr>
          <w:rFonts w:ascii="BentonSans" w:eastAsia="Times New Roman" w:hAnsi="BentonSans" w:cs="Times New Roman"/>
          <w:color w:val="4C5A69"/>
          <w:kern w:val="0"/>
          <w14:ligatures w14:val="none"/>
        </w:rPr>
        <w:t>School</w:t>
      </w:r>
      <w:proofErr w:type="gramEnd"/>
      <w:r w:rsidRPr="000C5045">
        <w:rPr>
          <w:rFonts w:ascii="BentonSans" w:eastAsia="Times New Roman" w:hAnsi="BentonSans" w:cs="Times New Roman"/>
          <w:color w:val="4C5A69"/>
          <w:kern w:val="0"/>
          <w14:ligatures w14:val="none"/>
        </w:rPr>
        <w:t xml:space="preserve"> offers these definitions for candidates and reviewers to evaluate excellence and impact.</w:t>
      </w:r>
    </w:p>
    <w:p w14:paraId="3E598F5A"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With all this in mind, the </w:t>
      </w:r>
      <w:proofErr w:type="gramStart"/>
      <w:r w:rsidRPr="000C5045">
        <w:rPr>
          <w:rFonts w:ascii="BentonSans" w:eastAsia="Times New Roman" w:hAnsi="BentonSans" w:cs="Times New Roman"/>
          <w:color w:val="4C5A69"/>
          <w:kern w:val="0"/>
          <w14:ligatures w14:val="none"/>
        </w:rPr>
        <w:t>School</w:t>
      </w:r>
      <w:proofErr w:type="gramEnd"/>
      <w:r w:rsidRPr="000C5045">
        <w:rPr>
          <w:rFonts w:ascii="BentonSans" w:eastAsia="Times New Roman" w:hAnsi="BentonSans" w:cs="Times New Roman"/>
          <w:color w:val="4C5A69"/>
          <w:kern w:val="0"/>
          <w14:ligatures w14:val="none"/>
        </w:rPr>
        <w:t xml:space="preserve"> requires the following for academic advancement:</w:t>
      </w:r>
    </w:p>
    <w:p w14:paraId="0CDD5407" w14:textId="77777777" w:rsidR="000C5045" w:rsidRPr="000C5045" w:rsidRDefault="000C5045" w:rsidP="000C5045">
      <w:pPr>
        <w:numPr>
          <w:ilvl w:val="0"/>
          <w:numId w:val="2"/>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Consistent effort to generate scholarship from the candidate’s academic work and to disseminate it in high-impact peer-reviewed external venues and/or applications.</w:t>
      </w:r>
    </w:p>
    <w:p w14:paraId="21ED4C57" w14:textId="77777777" w:rsidR="000C5045" w:rsidRPr="000C5045" w:rsidRDefault="000C5045" w:rsidP="000C5045">
      <w:pPr>
        <w:numPr>
          <w:ilvl w:val="0"/>
          <w:numId w:val="2"/>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Documentation of the impact of this academic work and associated scholarship on thought and/or practice in its discipline, profession, or field of application beyond the campus.</w:t>
      </w:r>
    </w:p>
    <w:p w14:paraId="27965723" w14:textId="77777777" w:rsidR="000C5045" w:rsidRPr="000C5045" w:rsidRDefault="000C5045" w:rsidP="000C5045">
      <w:pPr>
        <w:numPr>
          <w:ilvl w:val="0"/>
          <w:numId w:val="2"/>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Consistent effort to attract external support to advance the candidate’s academic work and/or to further the mission of the candidate’s department, School, campus, and university.</w:t>
      </w:r>
    </w:p>
    <w:p w14:paraId="4D998FAA"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Candidates for tenure must document a rising trajectory of effort to generate scholarship and to attract external support, and a sufficient degree of success in disseminating that scholarship in peer-reviewed venues. These efforts must be sufficient to achieve for the candidate an emerging national or international reputation in the candidate’s declared area of excellence (research, teaching, or service–or through the balanced case).</w:t>
      </w:r>
    </w:p>
    <w:p w14:paraId="17293E35"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Candidates for promotion to full rank must document a sustained national or international reputation for scholarly excellence and impact beyond the campus demonstrated by ongoing achievement in the candidate’s declared area of excellence (research, </w:t>
      </w:r>
      <w:proofErr w:type="gramStart"/>
      <w:r w:rsidRPr="000C5045">
        <w:rPr>
          <w:rFonts w:ascii="BentonSans" w:eastAsia="Times New Roman" w:hAnsi="BentonSans" w:cs="Times New Roman"/>
          <w:color w:val="4C5A69"/>
          <w:kern w:val="0"/>
          <w14:ligatures w14:val="none"/>
        </w:rPr>
        <w:t>teaching</w:t>
      </w:r>
      <w:proofErr w:type="gramEnd"/>
      <w:r w:rsidRPr="000C5045">
        <w:rPr>
          <w:rFonts w:ascii="BentonSans" w:eastAsia="Times New Roman" w:hAnsi="BentonSans" w:cs="Times New Roman"/>
          <w:color w:val="4C5A69"/>
          <w:kern w:val="0"/>
          <w14:ligatures w14:val="none"/>
        </w:rPr>
        <w:t xml:space="preserve"> or service – or through the balanced case).</w:t>
      </w:r>
    </w:p>
    <w:p w14:paraId="24443BBE" w14:textId="77777777" w:rsidR="000C5045" w:rsidRPr="000C5045" w:rsidRDefault="000C5045" w:rsidP="000C5045">
      <w:pPr>
        <w:spacing w:before="100" w:beforeAutospacing="1"/>
        <w:outlineLvl w:val="1"/>
        <w:rPr>
          <w:rFonts w:ascii="inherit" w:eastAsia="Times New Roman" w:hAnsi="inherit" w:cs="Times New Roman"/>
          <w:color w:val="243142"/>
          <w:kern w:val="0"/>
          <w:sz w:val="36"/>
          <w:szCs w:val="36"/>
          <w14:ligatures w14:val="none"/>
        </w:rPr>
      </w:pPr>
      <w:r w:rsidRPr="000C5045">
        <w:rPr>
          <w:rFonts w:ascii="inherit" w:eastAsia="Times New Roman" w:hAnsi="inherit" w:cs="Times New Roman"/>
          <w:color w:val="243142"/>
          <w:kern w:val="0"/>
          <w:sz w:val="36"/>
          <w:szCs w:val="36"/>
          <w14:ligatures w14:val="none"/>
        </w:rPr>
        <w:t>The Process</w:t>
      </w:r>
    </w:p>
    <w:p w14:paraId="68B49C3F"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lastRenderedPageBreak/>
        <w:t>Candidates for promotion and tenure are responsible for knowing the campus, School, and departmental standards, processes, and deadlines for promotion and tenure. In a normal progression toward tenure, candidates shall follow the procedural calendar explained below for preparing and presenting tenure dossiers. Because the School grants tenure and promotion to associate rank simultaneously, probationary candidates at the assistant rank must apply for promotion and tenure at the same time. Candidates for tenure who already hold associate rank are not automatically considered as candidates for promotion to full rank. Candidates for promotion to full rank or to senior lecturer or to clinical associate, although not bound by the “tenure clock” of scheduled progress in years, must follow the same procedural calendar for the preparation and presentation of their dossiers.</w:t>
      </w:r>
    </w:p>
    <w:p w14:paraId="73DB0DE0"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inherit" w:eastAsia="Times New Roman" w:hAnsi="inherit" w:cs="Times New Roman"/>
          <w:b/>
          <w:bCs/>
          <w:color w:val="4C5A69"/>
          <w:kern w:val="0"/>
          <w14:ligatures w14:val="none"/>
        </w:rPr>
        <w:t>A. The spring semester of the fifth year of candidate’s probationary appointment</w:t>
      </w:r>
    </w:p>
    <w:p w14:paraId="35B04748" w14:textId="77777777" w:rsidR="000C5045" w:rsidRPr="000C5045" w:rsidRDefault="000C5045" w:rsidP="000C5045">
      <w:pPr>
        <w:numPr>
          <w:ilvl w:val="0"/>
          <w:numId w:val="3"/>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Candidates prepare their dossiers by the format guidelines of the IUPUI campus.</w:t>
      </w:r>
    </w:p>
    <w:p w14:paraId="46AB6734" w14:textId="77777777" w:rsidR="000C5045" w:rsidRPr="000C5045" w:rsidRDefault="000C5045" w:rsidP="000C5045">
      <w:pPr>
        <w:numPr>
          <w:ilvl w:val="0"/>
          <w:numId w:val="3"/>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By May 1, candidates present their dossiers to the Departmental Chair. For example, a candidate appointed to the </w:t>
      </w:r>
      <w:proofErr w:type="gramStart"/>
      <w:r w:rsidRPr="000C5045">
        <w:rPr>
          <w:rFonts w:ascii="BentonSans" w:eastAsia="Times New Roman" w:hAnsi="BentonSans" w:cs="Times New Roman"/>
          <w:color w:val="4C5A69"/>
          <w:kern w:val="0"/>
          <w14:ligatures w14:val="none"/>
        </w:rPr>
        <w:t>School</w:t>
      </w:r>
      <w:proofErr w:type="gramEnd"/>
      <w:r w:rsidRPr="000C5045">
        <w:rPr>
          <w:rFonts w:ascii="BentonSans" w:eastAsia="Times New Roman" w:hAnsi="BentonSans" w:cs="Times New Roman"/>
          <w:color w:val="4C5A69"/>
          <w:kern w:val="0"/>
          <w14:ligatures w14:val="none"/>
        </w:rPr>
        <w:t xml:space="preserve"> in the fall of 2010 would present a tenure dossier to the chair by May 1, 2015, which would be presented to the Department and School committees in the fall of 2015, to be reviewed at the campus level in the spring of 2016. Candidates who </w:t>
      </w:r>
      <w:proofErr w:type="gramStart"/>
      <w:r w:rsidRPr="000C5045">
        <w:rPr>
          <w:rFonts w:ascii="BentonSans" w:eastAsia="Times New Roman" w:hAnsi="BentonSans" w:cs="Times New Roman"/>
          <w:color w:val="4C5A69"/>
          <w:kern w:val="0"/>
          <w14:ligatures w14:val="none"/>
        </w:rPr>
        <w:t>begins</w:t>
      </w:r>
      <w:proofErr w:type="gramEnd"/>
      <w:r w:rsidRPr="000C5045">
        <w:rPr>
          <w:rFonts w:ascii="BentonSans" w:eastAsia="Times New Roman" w:hAnsi="BentonSans" w:cs="Times New Roman"/>
          <w:color w:val="4C5A69"/>
          <w:kern w:val="0"/>
          <w14:ligatures w14:val="none"/>
        </w:rPr>
        <w:t xml:space="preserve"> their probationary appointment in the spring semester of any year shall follow the same tenure schedule as candidates who begin in the fall of the same calendar year.</w:t>
      </w:r>
    </w:p>
    <w:p w14:paraId="38A30BC2" w14:textId="77777777" w:rsidR="000C5045" w:rsidRPr="000C5045" w:rsidRDefault="000C5045" w:rsidP="000C5045">
      <w:pPr>
        <w:numPr>
          <w:ilvl w:val="0"/>
          <w:numId w:val="3"/>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The Department Chair prepares a list of at least eight external reviewers for the tenure candidate.</w:t>
      </w:r>
    </w:p>
    <w:p w14:paraId="6206F175" w14:textId="77777777" w:rsidR="000C5045" w:rsidRPr="000C5045" w:rsidRDefault="000C5045" w:rsidP="000C5045">
      <w:pPr>
        <w:numPr>
          <w:ilvl w:val="0"/>
          <w:numId w:val="3"/>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By May 15, Department Chairs send a solicitation letter, candidate’s CV, examples of scholarship, and a condensed copy of the tenure dossier to reviewers. Because of the frequent difficulty in obtaining external reviews, this list may extend to 10 or more external reviewers. Departmental Chairs shall attempt to the greatest degree possible to identify reviewers considered experts in the candidate’s discipline and declared area of excellence. Departmental Chairs shall consult with candidates to ensure that any potential reviewer is “at arm’s length” from the candidate, that is, the reviewer has no vested interest in the candidate’s academic success (see IUPUI guidelines). Candidates may suggest reviewers; however, Departmental Chairs are under no obligation to use them. The candidate shall be given the opportunity to request the exclusion of </w:t>
      </w:r>
      <w:proofErr w:type="gramStart"/>
      <w:r w:rsidRPr="000C5045">
        <w:rPr>
          <w:rFonts w:ascii="BentonSans" w:eastAsia="Times New Roman" w:hAnsi="BentonSans" w:cs="Times New Roman"/>
          <w:color w:val="4C5A69"/>
          <w:kern w:val="0"/>
          <w14:ligatures w14:val="none"/>
        </w:rPr>
        <w:t>particular reviewers</w:t>
      </w:r>
      <w:proofErr w:type="gramEnd"/>
      <w:r w:rsidRPr="000C5045">
        <w:rPr>
          <w:rFonts w:ascii="BentonSans" w:eastAsia="Times New Roman" w:hAnsi="BentonSans" w:cs="Times New Roman"/>
          <w:color w:val="4C5A69"/>
          <w:kern w:val="0"/>
          <w14:ligatures w14:val="none"/>
        </w:rPr>
        <w:t xml:space="preserve">, but only for nonacademic reasons, for example, because of past personal or </w:t>
      </w:r>
      <w:r w:rsidRPr="000C5045">
        <w:rPr>
          <w:rFonts w:ascii="BentonSans" w:eastAsia="Times New Roman" w:hAnsi="BentonSans" w:cs="Times New Roman"/>
          <w:color w:val="4C5A69"/>
          <w:kern w:val="0"/>
          <w14:ligatures w14:val="none"/>
        </w:rPr>
        <w:lastRenderedPageBreak/>
        <w:t>financial associations. Although Departmental Chairs are under no obligation to comply with such requests, the candidate may officially note his or her request at that time, and this note shall be forwarded to subsequent internal reviewers.</w:t>
      </w:r>
    </w:p>
    <w:p w14:paraId="3F6A097E"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inherit" w:eastAsia="Times New Roman" w:hAnsi="inherit" w:cs="Times New Roman"/>
          <w:b/>
          <w:bCs/>
          <w:color w:val="4C5A69"/>
          <w:kern w:val="0"/>
          <w14:ligatures w14:val="none"/>
        </w:rPr>
        <w:t>B. The fall semester of the sixth probationary year</w:t>
      </w:r>
    </w:p>
    <w:p w14:paraId="61FB0781" w14:textId="77777777" w:rsidR="000C5045" w:rsidRPr="000C5045" w:rsidRDefault="000C5045" w:rsidP="000C5045">
      <w:pPr>
        <w:numPr>
          <w:ilvl w:val="0"/>
          <w:numId w:val="4"/>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By August 20, candidates submit their full dossier for review by the Department Chair and the Department Promotion and Tenure Committee. Although candidates may have incrementally revised the dossier over the summer, and included new </w:t>
      </w:r>
      <w:proofErr w:type="gramStart"/>
      <w:r w:rsidRPr="000C5045">
        <w:rPr>
          <w:rFonts w:ascii="BentonSans" w:eastAsia="Times New Roman" w:hAnsi="BentonSans" w:cs="Times New Roman"/>
          <w:color w:val="4C5A69"/>
          <w:kern w:val="0"/>
          <w14:ligatures w14:val="none"/>
        </w:rPr>
        <w:t>factual information</w:t>
      </w:r>
      <w:proofErr w:type="gramEnd"/>
      <w:r w:rsidRPr="000C5045">
        <w:rPr>
          <w:rFonts w:ascii="BentonSans" w:eastAsia="Times New Roman" w:hAnsi="BentonSans" w:cs="Times New Roman"/>
          <w:color w:val="4C5A69"/>
          <w:kern w:val="0"/>
          <w14:ligatures w14:val="none"/>
        </w:rPr>
        <w:t xml:space="preserve"> (e.g., a record of new publications or grants), the relevant sections of this dossier presented to the Departmental Committee must be substantially the same as the dossier distributed to external reviewers.</w:t>
      </w:r>
    </w:p>
    <w:p w14:paraId="765BCCCE" w14:textId="77777777" w:rsidR="000C5045" w:rsidRPr="000C5045" w:rsidRDefault="000C5045" w:rsidP="000C5045">
      <w:pPr>
        <w:numPr>
          <w:ilvl w:val="0"/>
          <w:numId w:val="4"/>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By August 29, Departments shall assemble a Department Promotion and Tenure Committee to evaluate the dossier, either by election or as a committee of the whole. Department chairs do not appoint committee members. A Department P&amp;T Committees shall be assembled for each candidate. For years in which more than one candidate presents a dossier, different committees may be constituted for different dossiers. Committees shall include enough members to ensure that the dossier is evaluated with five positive or negative votes, not counting abstentions. To meet this vote total and to ensure that dossiers are evaluated by those familiar with the candidate’s academic discipline(s), committees may include qualified faculty from outside the Department or School who must be tenured at IUPUI or IUB. The Department Chair in consultation with the School Executive Associate Dean (EAD) shall determine when such supplemental members are necessary and prepare a list of candidates. The EAD shall solicit these supplemental members. Departmental committees may not include the Department Chair or a faculty member holding an administrative appointment in the School of Informatics and Computing, Indianapolis, at any level (chairs, associate deans, and deans).</w:t>
      </w:r>
    </w:p>
    <w:p w14:paraId="3ACCFF16" w14:textId="77777777" w:rsidR="000C5045" w:rsidRPr="000C5045" w:rsidRDefault="000C5045" w:rsidP="000C5045">
      <w:pPr>
        <w:numPr>
          <w:ilvl w:val="0"/>
          <w:numId w:val="4"/>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By August 30, Department P&amp;T Committees shall convene to evaluate dossiers. Committees shall deliver their reports to the Department Chair by September 14. Committees shall be convened by the Department Chair. Thereafter, the Chair is prohibited from participating in committee deliberations. Committees shall elect a chair to serve for the duration of the evaluation of each dossier. Committees shall evaluate each dossier, vote, and prepare a written report of the deliberations, thoroughly explaining the </w:t>
      </w:r>
      <w:r w:rsidRPr="000C5045">
        <w:rPr>
          <w:rFonts w:ascii="BentonSans" w:eastAsia="Times New Roman" w:hAnsi="BentonSans" w:cs="Times New Roman"/>
          <w:color w:val="4C5A69"/>
          <w:kern w:val="0"/>
          <w14:ligatures w14:val="none"/>
        </w:rPr>
        <w:lastRenderedPageBreak/>
        <w:t>reasons for the votes whether positive, negative, or abstentions. All members of the committee shall sign this report to attest to its accurate account of the deliberations. This report will be delivered to the Department Chair by September 14.</w:t>
      </w:r>
    </w:p>
    <w:p w14:paraId="6562B965" w14:textId="77777777" w:rsidR="000C5045" w:rsidRPr="000C5045" w:rsidRDefault="000C5045" w:rsidP="000C5045">
      <w:pPr>
        <w:numPr>
          <w:ilvl w:val="0"/>
          <w:numId w:val="4"/>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By September 17, the Department Chair shall deliver the committee report to the candidate.</w:t>
      </w:r>
    </w:p>
    <w:p w14:paraId="176F3FB2" w14:textId="77777777" w:rsidR="000C5045" w:rsidRPr="000C5045" w:rsidRDefault="000C5045" w:rsidP="000C5045">
      <w:pPr>
        <w:numPr>
          <w:ilvl w:val="0"/>
          <w:numId w:val="4"/>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By September 20, the Department Chair shall prepare a Chair’s Evaluation of the candidate’s dossier and share this evaluation with the candidate.</w:t>
      </w:r>
    </w:p>
    <w:p w14:paraId="21EB47A3" w14:textId="77777777" w:rsidR="000C5045" w:rsidRPr="000C5045" w:rsidRDefault="000C5045" w:rsidP="000C5045">
      <w:pPr>
        <w:numPr>
          <w:ilvl w:val="0"/>
          <w:numId w:val="4"/>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By September 25, the Department Chair shall deliver the Chair’s Evaluation and the rest of the dossier to the School P&amp;T Committee at the Indianapolis campus. The School P&amp;T Committee will convene to review the entire dossier including the Department P&amp;T Committee’s Report and Chair’s Evaluation. The School Committee comprises all tenured faculty members holding appointments at the Luddy, Indianapolis, except those with administrative appointments, who are Department Chairs of the candidate’s department, or who formally evaluate the academic performance of the candidate in the course of their academic duties. The committee Chair shall be elected by the School P&amp;T Committee at the beginning of each academic year and shall preside during all deliberations that year. Committees shall evaluate each dossier, vote, and prepare a written report of their deliberations, thoroughly explaining the reasons for the votes whether positive, negative, or abstentions. All members of the committee shall sign this report to attest to its accurate account of the deliberations.</w:t>
      </w:r>
    </w:p>
    <w:p w14:paraId="5A2805FD" w14:textId="77777777" w:rsidR="000C5045" w:rsidRPr="000C5045" w:rsidRDefault="000C5045" w:rsidP="000C5045">
      <w:pPr>
        <w:numPr>
          <w:ilvl w:val="0"/>
          <w:numId w:val="4"/>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By the third Friday in October, the School Committee shall deliver its report to the Executive Associate Dean of the School at the Indianapolis campus and to the Dean of the School.</w:t>
      </w:r>
    </w:p>
    <w:p w14:paraId="4C7AA994" w14:textId="77777777" w:rsidR="000C5045" w:rsidRPr="000C5045" w:rsidRDefault="000C5045" w:rsidP="000C5045">
      <w:pPr>
        <w:numPr>
          <w:ilvl w:val="0"/>
          <w:numId w:val="4"/>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By the last Friday in October, the EAD and Dean shall prepare independent evaluations of the candidate’s dossier. The EAD shall share these reports with the candidate.</w:t>
      </w:r>
    </w:p>
    <w:p w14:paraId="18C87779" w14:textId="77777777" w:rsidR="000C5045" w:rsidRPr="000C5045" w:rsidRDefault="000C5045" w:rsidP="000C5045">
      <w:pPr>
        <w:numPr>
          <w:ilvl w:val="0"/>
          <w:numId w:val="4"/>
        </w:numPr>
        <w:spacing w:before="100" w:beforeAutospacing="1" w:after="100" w:after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By the last Friday in October, the EAD and the Dean shall deliver all previous reports, documents, and the full dossier to the IUPUI Office of Academic Affairs.</w:t>
      </w:r>
    </w:p>
    <w:p w14:paraId="5D9C153A" w14:textId="77777777" w:rsidR="000C5045" w:rsidRPr="000C5045" w:rsidRDefault="000C5045" w:rsidP="000C5045">
      <w:pPr>
        <w:spacing w:before="100" w:beforeAutospacing="1"/>
        <w:outlineLvl w:val="1"/>
        <w:rPr>
          <w:rFonts w:ascii="inherit" w:eastAsia="Times New Roman" w:hAnsi="inherit" w:cs="Times New Roman"/>
          <w:color w:val="243142"/>
          <w:kern w:val="0"/>
          <w:sz w:val="36"/>
          <w:szCs w:val="36"/>
          <w14:ligatures w14:val="none"/>
        </w:rPr>
      </w:pPr>
      <w:r w:rsidRPr="000C5045">
        <w:rPr>
          <w:rFonts w:ascii="inherit" w:eastAsia="Times New Roman" w:hAnsi="inherit" w:cs="Times New Roman"/>
          <w:color w:val="243142"/>
          <w:kern w:val="0"/>
          <w:sz w:val="36"/>
          <w:szCs w:val="36"/>
          <w14:ligatures w14:val="none"/>
        </w:rPr>
        <w:t>The composition of the P&amp;T Committees</w:t>
      </w:r>
    </w:p>
    <w:p w14:paraId="47E73BB8"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inherit" w:eastAsia="Times New Roman" w:hAnsi="inherit" w:cs="Times New Roman"/>
          <w:b/>
          <w:bCs/>
          <w:color w:val="4C5A69"/>
          <w:kern w:val="0"/>
          <w14:ligatures w14:val="none"/>
        </w:rPr>
        <w:t>The P&amp;T Committees</w:t>
      </w:r>
    </w:p>
    <w:p w14:paraId="0CEAE008"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lastRenderedPageBreak/>
        <w:t>Tenured faculty members are the ones who make up the promotion and tenure (P&amp;T) committees of a unit. The P&amp;T committee at the department level consists of all tenured faculty in that department, while the P&amp;T committee at the Luddy Indianapolis school level comprises all tenured faculty in the school. The voting procedures follow campus policy, prohibiting members from voting for candidates applying for a higher rank than themselves, and members can only vote once per case. The campus policy requires that a P&amp;T committee must have a minimum of four yes or no votes to be considered of sufficient size. Usually, both department-level and school</w:t>
      </w:r>
      <w:r w:rsidRPr="000C5045">
        <w:rPr>
          <w:rFonts w:ascii="BentonSans" w:eastAsia="Times New Roman" w:hAnsi="BentonSans" w:cs="Times New Roman"/>
          <w:color w:val="4C5A69"/>
          <w:kern w:val="0"/>
          <w14:ligatures w14:val="none"/>
        </w:rPr>
        <w:t>level P&amp;T committees meet and vote for a case. However, if the department lacks enough tenured faculty to vote, only a school-level P&amp;T committee is acceptable for promotion-only cases. Three</w:t>
      </w:r>
      <w:r w:rsidRPr="000C5045">
        <w:rPr>
          <w:rFonts w:ascii="BentonSans" w:eastAsia="Times New Roman" w:hAnsi="BentonSans" w:cs="Times New Roman"/>
          <w:color w:val="4C5A69"/>
          <w:kern w:val="0"/>
          <w14:ligatures w14:val="none"/>
        </w:rPr>
        <w:t xml:space="preserve">year review cases may be reviewed also by one P&amp;T committee at the </w:t>
      </w:r>
      <w:proofErr w:type="gramStart"/>
      <w:r w:rsidRPr="000C5045">
        <w:rPr>
          <w:rFonts w:ascii="BentonSans" w:eastAsia="Times New Roman" w:hAnsi="BentonSans" w:cs="Times New Roman"/>
          <w:color w:val="4C5A69"/>
          <w:kern w:val="0"/>
          <w14:ligatures w14:val="none"/>
        </w:rPr>
        <w:t>School</w:t>
      </w:r>
      <w:proofErr w:type="gramEnd"/>
      <w:r w:rsidRPr="000C5045">
        <w:rPr>
          <w:rFonts w:ascii="BentonSans" w:eastAsia="Times New Roman" w:hAnsi="BentonSans" w:cs="Times New Roman"/>
          <w:color w:val="4C5A69"/>
          <w:kern w:val="0"/>
          <w14:ligatures w14:val="none"/>
        </w:rPr>
        <w:t xml:space="preserve"> level.</w:t>
      </w:r>
    </w:p>
    <w:p w14:paraId="29A152BF"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All tenured faculty in the </w:t>
      </w:r>
      <w:proofErr w:type="gramStart"/>
      <w:r w:rsidRPr="000C5045">
        <w:rPr>
          <w:rFonts w:ascii="BentonSans" w:eastAsia="Times New Roman" w:hAnsi="BentonSans" w:cs="Times New Roman"/>
          <w:color w:val="4C5A69"/>
          <w:kern w:val="0"/>
          <w14:ligatures w14:val="none"/>
        </w:rPr>
        <w:t>School</w:t>
      </w:r>
      <w:proofErr w:type="gramEnd"/>
      <w:r w:rsidRPr="000C5045">
        <w:rPr>
          <w:rFonts w:ascii="BentonSans" w:eastAsia="Times New Roman" w:hAnsi="BentonSans" w:cs="Times New Roman"/>
          <w:color w:val="4C5A69"/>
          <w:kern w:val="0"/>
          <w14:ligatures w14:val="none"/>
        </w:rPr>
        <w:t xml:space="preserve"> are eligible to serve on the Luddy Indianapolis school-level P&amp;T committee. Each department’s faculty should elect two representatives among its tenured faculty to serve on the school-level P&amp;T committee to ensure sufficient votes and disciplinary balance. The department-level P&amp;T committee consists of all tenured faculty in the department who are not representing the department on the school-level P&amp;T committee.</w:t>
      </w:r>
    </w:p>
    <w:p w14:paraId="2CF039F0"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inherit" w:eastAsia="Times New Roman" w:hAnsi="inherit" w:cs="Times New Roman"/>
          <w:b/>
          <w:bCs/>
          <w:color w:val="4C5A69"/>
          <w:kern w:val="0"/>
          <w14:ligatures w14:val="none"/>
        </w:rPr>
        <w:t>Inclusion of external members</w:t>
      </w:r>
    </w:p>
    <w:p w14:paraId="16EB69C8"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If a department or school lacks enough tenured faculty or requires disciplinary expertise, the P&amp;T committee may include qualified faculty from outside the department or school. However, candidates cannot have a role in identifying or soliciting additional members. If most members are external to the school, it is recommended that at least the committee chair is a tenured faculty member in the school.</w:t>
      </w:r>
    </w:p>
    <w:p w14:paraId="6045DCF8"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inherit" w:eastAsia="Times New Roman" w:hAnsi="inherit" w:cs="Times New Roman"/>
          <w:b/>
          <w:bCs/>
          <w:color w:val="4C5A69"/>
          <w:kern w:val="0"/>
          <w14:ligatures w14:val="none"/>
        </w:rPr>
        <w:t>Inclusion of lecturer-track representatives</w:t>
      </w:r>
    </w:p>
    <w:p w14:paraId="733B0296"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 xml:space="preserve">For lecturer-track cases, the P&amp;T committees may include one or two voting representatives from the lecturer-track faculty who are at least at the rank sought by the candidate, with </w:t>
      </w:r>
      <w:proofErr w:type="gramStart"/>
      <w:r w:rsidRPr="000C5045">
        <w:rPr>
          <w:rFonts w:ascii="BentonSans" w:eastAsia="Times New Roman" w:hAnsi="BentonSans" w:cs="Times New Roman"/>
          <w:color w:val="4C5A69"/>
          <w:kern w:val="0"/>
          <w14:ligatures w14:val="none"/>
        </w:rPr>
        <w:t>the majority of</w:t>
      </w:r>
      <w:proofErr w:type="gramEnd"/>
      <w:r w:rsidRPr="000C5045">
        <w:rPr>
          <w:rFonts w:ascii="BentonSans" w:eastAsia="Times New Roman" w:hAnsi="BentonSans" w:cs="Times New Roman"/>
          <w:color w:val="4C5A69"/>
          <w:kern w:val="0"/>
          <w14:ligatures w14:val="none"/>
        </w:rPr>
        <w:t xml:space="preserve"> voting members being tenured faculty. When possible, consistently with campus practice, the lecturer-track representatives should be at full rank.</w:t>
      </w:r>
    </w:p>
    <w:p w14:paraId="39DF354B"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inherit" w:eastAsia="Times New Roman" w:hAnsi="inherit" w:cs="Times New Roman"/>
          <w:b/>
          <w:bCs/>
          <w:color w:val="4C5A69"/>
          <w:kern w:val="0"/>
          <w14:ligatures w14:val="none"/>
        </w:rPr>
        <w:t>Importance of confidentiality</w:t>
      </w:r>
    </w:p>
    <w:p w14:paraId="430C6160"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lastRenderedPageBreak/>
        <w:t xml:space="preserve">The confidentiality of the P&amp;T committee’s composition, meetings, notes, </w:t>
      </w:r>
      <w:proofErr w:type="gramStart"/>
      <w:r w:rsidRPr="000C5045">
        <w:rPr>
          <w:rFonts w:ascii="BentonSans" w:eastAsia="Times New Roman" w:hAnsi="BentonSans" w:cs="Times New Roman"/>
          <w:color w:val="4C5A69"/>
          <w:kern w:val="0"/>
          <w14:ligatures w14:val="none"/>
        </w:rPr>
        <w:t>discussion</w:t>
      </w:r>
      <w:proofErr w:type="gramEnd"/>
      <w:r w:rsidRPr="000C5045">
        <w:rPr>
          <w:rFonts w:ascii="BentonSans" w:eastAsia="Times New Roman" w:hAnsi="BentonSans" w:cs="Times New Roman"/>
          <w:color w:val="4C5A69"/>
          <w:kern w:val="0"/>
          <w14:ligatures w14:val="none"/>
        </w:rPr>
        <w:t xml:space="preserve"> and deliberation is vital to maintain the integrity and collegiality of the review process. P&amp;T committee members are bound to the confidentiality of the committee proceedings. A member should not discuss with the candidate about their case at any time before, during or after the committee meeting and deliberations.</w:t>
      </w:r>
    </w:p>
    <w:p w14:paraId="4D0085A1" w14:textId="77777777" w:rsidR="000C5045" w:rsidRPr="000C5045" w:rsidRDefault="000C5045" w:rsidP="000C5045">
      <w:pPr>
        <w:spacing w:before="100" w:beforeAutospacing="1"/>
        <w:rPr>
          <w:rFonts w:ascii="BentonSans" w:eastAsia="Times New Roman" w:hAnsi="BentonSans" w:cs="Times New Roman"/>
          <w:color w:val="4C5A69"/>
          <w:kern w:val="0"/>
          <w14:ligatures w14:val="none"/>
        </w:rPr>
      </w:pPr>
      <w:r w:rsidRPr="000C5045">
        <w:rPr>
          <w:rFonts w:ascii="BentonSans" w:eastAsia="Times New Roman" w:hAnsi="BentonSans" w:cs="Times New Roman"/>
          <w:color w:val="4C5A69"/>
          <w:kern w:val="0"/>
          <w14:ligatures w14:val="none"/>
        </w:rPr>
        <w:t>These guidelines take precedence over any other language in the P&amp;T guidelines that speaks about the composition of the P&amp;T committee.</w:t>
      </w:r>
    </w:p>
    <w:p w14:paraId="4925F6B6" w14:textId="77777777" w:rsidR="00F85CF1" w:rsidRDefault="00F85CF1"/>
    <w:sectPr w:rsidR="00F8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BentonSans">
    <w:panose1 w:val="020005030000000200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949"/>
    <w:multiLevelType w:val="multilevel"/>
    <w:tmpl w:val="D23E1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E1669"/>
    <w:multiLevelType w:val="multilevel"/>
    <w:tmpl w:val="BDEA5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503AB"/>
    <w:multiLevelType w:val="multilevel"/>
    <w:tmpl w:val="B3B4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331515"/>
    <w:multiLevelType w:val="multilevel"/>
    <w:tmpl w:val="0B88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4565076">
    <w:abstractNumId w:val="1"/>
  </w:num>
  <w:num w:numId="2" w16cid:durableId="463894027">
    <w:abstractNumId w:val="3"/>
  </w:num>
  <w:num w:numId="3" w16cid:durableId="756289993">
    <w:abstractNumId w:val="2"/>
  </w:num>
  <w:num w:numId="4" w16cid:durableId="142299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45"/>
    <w:rsid w:val="000C5045"/>
    <w:rsid w:val="00517A8A"/>
    <w:rsid w:val="005F5C9E"/>
    <w:rsid w:val="00F85CF1"/>
    <w:rsid w:val="00FB6120"/>
    <w:rsid w:val="00FC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F7231"/>
  <w15:chartTrackingRefBased/>
  <w15:docId w15:val="{E27E6177-5D1C-A646-88B4-D016ABFD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504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C504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04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C5045"/>
    <w:rPr>
      <w:rFonts w:ascii="Times New Roman" w:eastAsia="Times New Roman" w:hAnsi="Times New Roman" w:cs="Times New Roman"/>
      <w:b/>
      <w:bCs/>
      <w:kern w:val="0"/>
      <w:sz w:val="36"/>
      <w:szCs w:val="36"/>
      <w14:ligatures w14:val="none"/>
    </w:rPr>
  </w:style>
  <w:style w:type="paragraph" w:customStyle="1" w:styleId="rvt-ts-20">
    <w:name w:val="rvt-ts-20"/>
    <w:basedOn w:val="Normal"/>
    <w:rsid w:val="000C5045"/>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0C504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C5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8294">
      <w:bodyDiv w:val="1"/>
      <w:marLeft w:val="0"/>
      <w:marRight w:val="0"/>
      <w:marTop w:val="0"/>
      <w:marBottom w:val="0"/>
      <w:divBdr>
        <w:top w:val="none" w:sz="0" w:space="0" w:color="auto"/>
        <w:left w:val="none" w:sz="0" w:space="0" w:color="auto"/>
        <w:bottom w:val="none" w:sz="0" w:space="0" w:color="auto"/>
        <w:right w:val="none" w:sz="0" w:space="0" w:color="auto"/>
      </w:divBdr>
      <w:divsChild>
        <w:div w:id="341736897">
          <w:marLeft w:val="0"/>
          <w:marRight w:val="0"/>
          <w:marTop w:val="0"/>
          <w:marBottom w:val="0"/>
          <w:divBdr>
            <w:top w:val="none" w:sz="0" w:space="0" w:color="auto"/>
            <w:left w:val="none" w:sz="0" w:space="0" w:color="auto"/>
            <w:bottom w:val="single" w:sz="6" w:space="0" w:color="E2E7E9"/>
            <w:right w:val="none" w:sz="0" w:space="0" w:color="auto"/>
          </w:divBdr>
        </w:div>
        <w:div w:id="150963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2127</Words>
  <Characters>12128</Characters>
  <Application>Microsoft Office Word</Application>
  <DocSecurity>0</DocSecurity>
  <Lines>101</Lines>
  <Paragraphs>28</Paragraphs>
  <ScaleCrop>false</ScaleCrop>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Andrea</dc:creator>
  <cp:keywords/>
  <dc:description/>
  <cp:lastModifiedBy>Copeland, Andrea</cp:lastModifiedBy>
  <cp:revision>1</cp:revision>
  <dcterms:created xsi:type="dcterms:W3CDTF">2023-12-07T15:11:00Z</dcterms:created>
  <dcterms:modified xsi:type="dcterms:W3CDTF">2023-12-07T15:12:00Z</dcterms:modified>
</cp:coreProperties>
</file>