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087A" w14:textId="6DFB62DE" w:rsidR="00495B96" w:rsidRPr="00EF29AD" w:rsidRDefault="00495B96" w:rsidP="00EF29AD">
      <w:pPr>
        <w:rPr>
          <w:b/>
        </w:rPr>
      </w:pPr>
      <w:r w:rsidRPr="002D1428">
        <w:rPr>
          <w:b/>
          <w:sz w:val="36"/>
        </w:rPr>
        <w:t>Circular:</w:t>
      </w:r>
      <w:r w:rsidR="00EF29AD" w:rsidRPr="002D1428">
        <w:rPr>
          <w:b/>
          <w:sz w:val="36"/>
        </w:rPr>
        <w:t xml:space="preserve"> Overview of Proposed Changes to Campus Promotion and Tenure Review, Spring 2021</w:t>
      </w:r>
    </w:p>
    <w:p w14:paraId="6B29D4CB" w14:textId="24886A4A" w:rsidR="00EF29AD" w:rsidRDefault="00EF29AD" w:rsidP="00EF29AD"/>
    <w:p w14:paraId="2AD67865" w14:textId="308C5025" w:rsidR="00233915" w:rsidRDefault="00EF29AD" w:rsidP="00EF29AD">
      <w:pPr>
        <w:rPr>
          <w:i/>
          <w:iCs/>
        </w:rPr>
      </w:pPr>
      <w:r>
        <w:rPr>
          <w:i/>
          <w:iCs/>
        </w:rPr>
        <w:t>Changes to be ADDED to guidelines for the following case types:  Excellence in Research, Excellence in Teaching, Excellence in Service, Balanced Case</w:t>
      </w:r>
      <w:r w:rsidR="00233915">
        <w:rPr>
          <w:i/>
          <w:iCs/>
        </w:rPr>
        <w:t xml:space="preserve"> </w:t>
      </w:r>
    </w:p>
    <w:p w14:paraId="26FE9047" w14:textId="0EF1CB9D" w:rsidR="002B610F" w:rsidRDefault="002B610F" w:rsidP="002B610F">
      <w:pPr>
        <w:jc w:val="center"/>
      </w:pPr>
    </w:p>
    <w:p w14:paraId="6A59FFCE" w14:textId="1E589D9A" w:rsidR="00EF29AD" w:rsidRPr="003A2184" w:rsidRDefault="00CE5E62" w:rsidP="00EF29AD">
      <w:pPr>
        <w:rPr>
          <w:b/>
          <w:bCs/>
        </w:rPr>
      </w:pPr>
      <w:r>
        <w:rPr>
          <w:b/>
          <w:bCs/>
        </w:rPr>
        <w:t xml:space="preserve">See Circular: Integrative DEI Case Type-Changes to the P&amp;T Guidelines for </w:t>
      </w:r>
      <w:r w:rsidR="00EF29AD">
        <w:rPr>
          <w:b/>
          <w:bCs/>
        </w:rPr>
        <w:t>exact Guideline language changes.</w:t>
      </w:r>
    </w:p>
    <w:p w14:paraId="7C9BACA8" w14:textId="77777777" w:rsidR="00EF29AD" w:rsidRDefault="00EF29AD" w:rsidP="00172361"/>
    <w:p w14:paraId="2923260B" w14:textId="1A6AB337" w:rsidR="0091570F" w:rsidRDefault="00172361" w:rsidP="00172361">
      <w:r>
        <w:t xml:space="preserve">The following </w:t>
      </w:r>
      <w:r w:rsidR="00EF29AD">
        <w:t xml:space="preserve">changes are </w:t>
      </w:r>
      <w:r>
        <w:t>consistent with overall IU and Purdue criteria for tenure-track faculty.</w:t>
      </w:r>
      <w:r w:rsidR="00041314">
        <w:t xml:space="preserve">  </w:t>
      </w:r>
      <w:r w:rsidR="0091570F">
        <w:t xml:space="preserve">This proposal was endorsed by </w:t>
      </w:r>
      <w:r w:rsidR="00205750">
        <w:t xml:space="preserve">approximately 80% </w:t>
      </w:r>
      <w:r w:rsidR="0091570F">
        <w:t xml:space="preserve">of the current Ad Hoc Committee </w:t>
      </w:r>
      <w:r w:rsidR="00041314">
        <w:t xml:space="preserve">charged with </w:t>
      </w:r>
      <w:r w:rsidR="0091570F">
        <w:t>Review</w:t>
      </w:r>
      <w:r w:rsidR="00041314">
        <w:t>ing IUPUI Campus</w:t>
      </w:r>
      <w:r w:rsidR="0091570F">
        <w:t xml:space="preserve"> P&amp;T Guidelines</w:t>
      </w:r>
      <w:r w:rsidR="00004B0D">
        <w:t xml:space="preserve"> and </w:t>
      </w:r>
      <w:r w:rsidR="00041314">
        <w:t>forwarded</w:t>
      </w:r>
      <w:r w:rsidR="00004B0D">
        <w:t xml:space="preserve"> </w:t>
      </w:r>
      <w:r w:rsidR="00CF4E5E">
        <w:t xml:space="preserve">by the IFC Executive Committee to the </w:t>
      </w:r>
      <w:r w:rsidR="00041314">
        <w:t xml:space="preserve">IUPUI Faculty Council </w:t>
      </w:r>
      <w:r w:rsidR="00CF4E5E">
        <w:t>for review</w:t>
      </w:r>
      <w:r w:rsidR="00004B0D">
        <w:t>.</w:t>
      </w:r>
      <w:r w:rsidR="0091570F">
        <w:t xml:space="preserve">  </w:t>
      </w:r>
    </w:p>
    <w:p w14:paraId="0CA94D4E" w14:textId="7F9D65EF" w:rsidR="004C4C76" w:rsidRDefault="004C4C76" w:rsidP="004C4C76"/>
    <w:p w14:paraId="47520A2F" w14:textId="4F472FBB" w:rsidR="00BD6C12" w:rsidRPr="002D1428" w:rsidRDefault="00C24ACA" w:rsidP="002D1428">
      <w:pPr>
        <w:pStyle w:val="ListParagraph"/>
        <w:numPr>
          <w:ilvl w:val="0"/>
          <w:numId w:val="12"/>
        </w:numPr>
        <w:ind w:left="630"/>
        <w:rPr>
          <w:b/>
          <w:sz w:val="28"/>
        </w:rPr>
      </w:pPr>
      <w:r w:rsidRPr="002D1428">
        <w:rPr>
          <w:b/>
          <w:sz w:val="28"/>
        </w:rPr>
        <w:t>Background: Why Undertake This Review at This Time?</w:t>
      </w:r>
    </w:p>
    <w:p w14:paraId="77ADE42C" w14:textId="4C2D0BFE" w:rsidR="00C24ACA" w:rsidRDefault="00C24ACA" w:rsidP="002D1428">
      <w:pPr>
        <w:pStyle w:val="ListParagraph"/>
        <w:ind w:left="1080"/>
      </w:pPr>
    </w:p>
    <w:p w14:paraId="1A6C03B6" w14:textId="24811AB7" w:rsidR="00CF4E5E" w:rsidRDefault="00CF4E5E" w:rsidP="00CF4E5E">
      <w:r>
        <w:rPr>
          <w:noProof/>
        </w:rPr>
        <mc:AlternateContent>
          <mc:Choice Requires="wps">
            <w:drawing>
              <wp:anchor distT="45720" distB="45720" distL="114300" distR="114300" simplePos="0" relativeHeight="251659264" behindDoc="0" locked="0" layoutInCell="1" allowOverlap="1" wp14:anchorId="7926C6DC" wp14:editId="59EF529E">
                <wp:simplePos x="0" y="0"/>
                <wp:positionH relativeFrom="column">
                  <wp:posOffset>1905000</wp:posOffset>
                </wp:positionH>
                <wp:positionV relativeFrom="paragraph">
                  <wp:posOffset>509270</wp:posOffset>
                </wp:positionV>
                <wp:extent cx="3848100" cy="456247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562475"/>
                        </a:xfrm>
                        <a:prstGeom prst="rect">
                          <a:avLst/>
                        </a:prstGeom>
                        <a:solidFill>
                          <a:schemeClr val="bg2"/>
                        </a:solidFill>
                        <a:ln w="41275">
                          <a:solidFill>
                            <a:srgbClr val="000000"/>
                          </a:solidFill>
                          <a:miter lim="800000"/>
                          <a:headEnd/>
                          <a:tailEnd/>
                        </a:ln>
                      </wps:spPr>
                      <wps:txbx>
                        <w:txbxContent>
                          <w:p w14:paraId="6F93B375" w14:textId="2ADD3302" w:rsidR="00CF4E5E" w:rsidRDefault="00FB3F4B" w:rsidP="00CF4E5E">
                            <w:r>
                              <w:fldChar w:fldCharType="begin"/>
                            </w:r>
                            <w:r>
                              <w:instrText xml:space="preserve"> HYPERLINK "https://strategicplan.iupui.edu/goals" </w:instrText>
                            </w:r>
                            <w:r>
                              <w:fldChar w:fldCharType="separate"/>
                            </w:r>
                            <w:r w:rsidR="00CF4E5E" w:rsidRPr="001C76DF">
                              <w:rPr>
                                <w:rStyle w:val="Hyperlink"/>
                              </w:rPr>
                              <w:t>IUPUI Strategic Plan</w:t>
                            </w:r>
                            <w:r>
                              <w:rPr>
                                <w:rStyle w:val="Hyperlink"/>
                              </w:rPr>
                              <w:fldChar w:fldCharType="end"/>
                            </w:r>
                          </w:p>
                          <w:p w14:paraId="10588B5D" w14:textId="77777777" w:rsidR="00CF4E5E" w:rsidRPr="002D1428" w:rsidRDefault="00CF4E5E" w:rsidP="00CF4E5E">
                            <w:pPr>
                              <w:rPr>
                                <w:b/>
                              </w:rPr>
                            </w:pPr>
                            <w:r w:rsidRPr="002D1428">
                              <w:rPr>
                                <w:b/>
                              </w:rPr>
                              <w:t>Goal 9:  Promote an Inclusive Campus Climate</w:t>
                            </w:r>
                          </w:p>
                          <w:p w14:paraId="2FE72C01" w14:textId="77777777" w:rsidR="00CF4E5E" w:rsidRPr="00B17E94" w:rsidRDefault="00CF4E5E" w:rsidP="00CF4E5E">
                            <w:r w:rsidRPr="00B17E94">
                              <w:t>Seek, value, and cultivate diversity in all of its forms and create an environment where all campus community members feel welcomed, supported, included, and valued.</w:t>
                            </w:r>
                          </w:p>
                          <w:p w14:paraId="62D99A17" w14:textId="77777777" w:rsidR="00CF4E5E" w:rsidRDefault="00CF4E5E" w:rsidP="00CF4E5E">
                            <w:pPr>
                              <w:rPr>
                                <w:sz w:val="20"/>
                              </w:rPr>
                            </w:pPr>
                          </w:p>
                          <w:p w14:paraId="528FE533" w14:textId="69BE0048" w:rsidR="00CF4E5E" w:rsidRDefault="00CF4E5E" w:rsidP="00CF4E5E">
                            <w:pPr>
                              <w:rPr>
                                <w:sz w:val="20"/>
                              </w:rPr>
                            </w:pPr>
                            <w:r w:rsidRPr="002D1428">
                              <w:rPr>
                                <w:sz w:val="20"/>
                              </w:rPr>
                              <w:t>Objectives:</w:t>
                            </w:r>
                          </w:p>
                          <w:p w14:paraId="391DAA97" w14:textId="77777777" w:rsidR="00CF4E5E" w:rsidRPr="002D1428" w:rsidRDefault="00CF4E5E" w:rsidP="00CF4E5E">
                            <w:pPr>
                              <w:rPr>
                                <w:sz w:val="20"/>
                              </w:rPr>
                            </w:pPr>
                          </w:p>
                          <w:p w14:paraId="7558B043" w14:textId="77777777" w:rsidR="00CF4E5E" w:rsidRPr="002D1428" w:rsidRDefault="00CF4E5E" w:rsidP="00CF4E5E">
                            <w:pPr>
                              <w:numPr>
                                <w:ilvl w:val="0"/>
                                <w:numId w:val="11"/>
                              </w:numPr>
                              <w:rPr>
                                <w:sz w:val="20"/>
                              </w:rPr>
                            </w:pPr>
                            <w:r w:rsidRPr="002D1428">
                              <w:rPr>
                                <w:b/>
                                <w:bCs/>
                                <w:sz w:val="20"/>
                              </w:rPr>
                              <w:t>Develop and maintain an unapologetically equitable and inclusive campus culture that ensures the academic and professional success of historically minoritized and marginalized students, staff, and faculty, and actively promote the benefits of such a culture to the entire campus</w:t>
                            </w:r>
                            <w:r w:rsidRPr="002D1428">
                              <w:rPr>
                                <w:sz w:val="20"/>
                              </w:rPr>
                              <w:t>.</w:t>
                            </w:r>
                          </w:p>
                          <w:p w14:paraId="666EF944" w14:textId="77777777" w:rsidR="00CF4E5E" w:rsidRPr="002D1428" w:rsidRDefault="00CF4E5E" w:rsidP="00CF4E5E">
                            <w:pPr>
                              <w:numPr>
                                <w:ilvl w:val="0"/>
                                <w:numId w:val="11"/>
                              </w:numPr>
                              <w:rPr>
                                <w:sz w:val="20"/>
                              </w:rPr>
                            </w:pPr>
                            <w:r w:rsidRPr="002D1428">
                              <w:rPr>
                                <w:sz w:val="20"/>
                              </w:rPr>
                              <w:t>With campus administration leading by example, provide multiple and varied learning opportunities to the IUPUI community to improve awareness and understanding of and between diverse populations, and to ensure campus accountability to the values of diversity, equity, and inclusion.</w:t>
                            </w:r>
                          </w:p>
                          <w:p w14:paraId="4A5D9A84" w14:textId="77777777" w:rsidR="00CF4E5E" w:rsidRPr="002D1428" w:rsidRDefault="00CF4E5E" w:rsidP="00CF4E5E">
                            <w:pPr>
                              <w:numPr>
                                <w:ilvl w:val="0"/>
                                <w:numId w:val="11"/>
                              </w:numPr>
                              <w:rPr>
                                <w:sz w:val="20"/>
                              </w:rPr>
                            </w:pPr>
                            <w:r w:rsidRPr="002D1428">
                              <w:rPr>
                                <w:sz w:val="20"/>
                              </w:rPr>
                              <w:t xml:space="preserve">Develop and implement meaningful and dynamic diversity plans that are unique to each </w:t>
                            </w:r>
                            <w:proofErr w:type="gramStart"/>
                            <w:r w:rsidRPr="002D1428">
                              <w:rPr>
                                <w:sz w:val="20"/>
                              </w:rPr>
                              <w:t>unit, and</w:t>
                            </w:r>
                            <w:proofErr w:type="gramEnd"/>
                            <w:r w:rsidRPr="002D1428">
                              <w:rPr>
                                <w:sz w:val="20"/>
                              </w:rPr>
                              <w:t xml:space="preserve"> assess progress annually.</w:t>
                            </w:r>
                          </w:p>
                          <w:p w14:paraId="03FD9A9D" w14:textId="77777777" w:rsidR="00CF4E5E" w:rsidRPr="002D1428" w:rsidRDefault="00CF4E5E" w:rsidP="00CF4E5E">
                            <w:pPr>
                              <w:numPr>
                                <w:ilvl w:val="0"/>
                                <w:numId w:val="11"/>
                              </w:numPr>
                              <w:rPr>
                                <w:sz w:val="20"/>
                              </w:rPr>
                            </w:pPr>
                            <w:r w:rsidRPr="002D1428">
                              <w:rPr>
                                <w:sz w:val="20"/>
                              </w:rPr>
                              <w:t>Employ proven strategies to diversify campus administration, faculty, staff and students.</w:t>
                            </w:r>
                          </w:p>
                          <w:p w14:paraId="747F2742" w14:textId="06093905" w:rsidR="00CF4E5E" w:rsidRDefault="00CF4E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C6DC" id="_x0000_t202" coordsize="21600,21600" o:spt="202" path="m,l,21600r21600,l21600,xe">
                <v:stroke joinstyle="miter"/>
                <v:path gradientshapeok="t" o:connecttype="rect"/>
              </v:shapetype>
              <v:shape id="Text Box 2" o:spid="_x0000_s1026" type="#_x0000_t202" style="position:absolute;margin-left:150pt;margin-top:40.1pt;width:303pt;height:3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" fillcolor="#e7e6e6 [3214]" strokeweight="3.25pt">
                <v:textbox>
                  <w:txbxContent>
                    <w:p w14:paraId="6F93B375" w14:textId="2ADD3302" w:rsidR="00CF4E5E" w:rsidRDefault="00FB3F4B" w:rsidP="00CF4E5E">
                      <w:r>
                        <w:fldChar w:fldCharType="begin"/>
                      </w:r>
                      <w:r>
                        <w:instrText xml:space="preserve"> HYPERLINK "https://strategicplan.iupui.edu/goals" </w:instrText>
                      </w:r>
                      <w:r>
                        <w:fldChar w:fldCharType="separate"/>
                      </w:r>
                      <w:r w:rsidR="00CF4E5E" w:rsidRPr="001C76DF">
                        <w:rPr>
                          <w:rStyle w:val="Hyperlink"/>
                        </w:rPr>
                        <w:t>IUPUI Strategic Plan</w:t>
                      </w:r>
                      <w:r>
                        <w:rPr>
                          <w:rStyle w:val="Hyperlink"/>
                        </w:rPr>
                        <w:fldChar w:fldCharType="end"/>
                      </w:r>
                    </w:p>
                    <w:p w14:paraId="10588B5D" w14:textId="77777777" w:rsidR="00CF4E5E" w:rsidRPr="002D1428" w:rsidRDefault="00CF4E5E" w:rsidP="00CF4E5E">
                      <w:pPr>
                        <w:rPr>
                          <w:b/>
                        </w:rPr>
                      </w:pPr>
                      <w:r w:rsidRPr="002D1428">
                        <w:rPr>
                          <w:b/>
                        </w:rPr>
                        <w:t>Goal 9:  Promote an Inclusive Campus Climate</w:t>
                      </w:r>
                    </w:p>
                    <w:p w14:paraId="2FE72C01" w14:textId="77777777" w:rsidR="00CF4E5E" w:rsidRPr="00B17E94" w:rsidRDefault="00CF4E5E" w:rsidP="00CF4E5E">
                      <w:r w:rsidRPr="00B17E94">
                        <w:t>Seek, value, and cultivate diversity in all of its forms and create an environment where all campus community members feel welcomed, supported, included, and valued.</w:t>
                      </w:r>
                    </w:p>
                    <w:p w14:paraId="62D99A17" w14:textId="77777777" w:rsidR="00CF4E5E" w:rsidRDefault="00CF4E5E" w:rsidP="00CF4E5E">
                      <w:pPr>
                        <w:rPr>
                          <w:sz w:val="20"/>
                        </w:rPr>
                      </w:pPr>
                    </w:p>
                    <w:p w14:paraId="528FE533" w14:textId="69BE0048" w:rsidR="00CF4E5E" w:rsidRDefault="00CF4E5E" w:rsidP="00CF4E5E">
                      <w:pPr>
                        <w:rPr>
                          <w:sz w:val="20"/>
                        </w:rPr>
                      </w:pPr>
                      <w:r w:rsidRPr="002D1428">
                        <w:rPr>
                          <w:sz w:val="20"/>
                        </w:rPr>
                        <w:t>Objectives:</w:t>
                      </w:r>
                    </w:p>
                    <w:p w14:paraId="391DAA97" w14:textId="77777777" w:rsidR="00CF4E5E" w:rsidRPr="002D1428" w:rsidRDefault="00CF4E5E" w:rsidP="00CF4E5E">
                      <w:pPr>
                        <w:rPr>
                          <w:sz w:val="20"/>
                        </w:rPr>
                      </w:pPr>
                    </w:p>
                    <w:p w14:paraId="7558B043" w14:textId="77777777" w:rsidR="00CF4E5E" w:rsidRPr="002D1428" w:rsidRDefault="00CF4E5E" w:rsidP="00CF4E5E">
                      <w:pPr>
                        <w:numPr>
                          <w:ilvl w:val="0"/>
                          <w:numId w:val="11"/>
                        </w:numPr>
                        <w:rPr>
                          <w:sz w:val="20"/>
                        </w:rPr>
                      </w:pPr>
                      <w:r w:rsidRPr="002D1428">
                        <w:rPr>
                          <w:b/>
                          <w:bCs/>
                          <w:sz w:val="20"/>
                        </w:rPr>
                        <w:t>Develop and maintain an unapologetically equitable and inclusive campus culture that ensures the academic and professional success of historically minoritized and marginalized students, staff, and faculty, and actively promote the benefits of such a culture to the entire campus</w:t>
                      </w:r>
                      <w:r w:rsidRPr="002D1428">
                        <w:rPr>
                          <w:sz w:val="20"/>
                        </w:rPr>
                        <w:t>.</w:t>
                      </w:r>
                    </w:p>
                    <w:p w14:paraId="666EF944" w14:textId="77777777" w:rsidR="00CF4E5E" w:rsidRPr="002D1428" w:rsidRDefault="00CF4E5E" w:rsidP="00CF4E5E">
                      <w:pPr>
                        <w:numPr>
                          <w:ilvl w:val="0"/>
                          <w:numId w:val="11"/>
                        </w:numPr>
                        <w:rPr>
                          <w:sz w:val="20"/>
                        </w:rPr>
                      </w:pPr>
                      <w:r w:rsidRPr="002D1428">
                        <w:rPr>
                          <w:sz w:val="20"/>
                        </w:rPr>
                        <w:t>With campus administration leading by example, provide multiple and varied learning opportunities to the IUPUI community to improve awareness and understanding of and between diverse populations, and to ensure campus accountability to the values of diversity, equity, and inclusion.</w:t>
                      </w:r>
                    </w:p>
                    <w:p w14:paraId="4A5D9A84" w14:textId="77777777" w:rsidR="00CF4E5E" w:rsidRPr="002D1428" w:rsidRDefault="00CF4E5E" w:rsidP="00CF4E5E">
                      <w:pPr>
                        <w:numPr>
                          <w:ilvl w:val="0"/>
                          <w:numId w:val="11"/>
                        </w:numPr>
                        <w:rPr>
                          <w:sz w:val="20"/>
                        </w:rPr>
                      </w:pPr>
                      <w:r w:rsidRPr="002D1428">
                        <w:rPr>
                          <w:sz w:val="20"/>
                        </w:rPr>
                        <w:t xml:space="preserve">Develop and implement meaningful and dynamic diversity plans that are unique to each </w:t>
                      </w:r>
                      <w:proofErr w:type="gramStart"/>
                      <w:r w:rsidRPr="002D1428">
                        <w:rPr>
                          <w:sz w:val="20"/>
                        </w:rPr>
                        <w:t>unit, and</w:t>
                      </w:r>
                      <w:proofErr w:type="gramEnd"/>
                      <w:r w:rsidRPr="002D1428">
                        <w:rPr>
                          <w:sz w:val="20"/>
                        </w:rPr>
                        <w:t xml:space="preserve"> assess progress annually.</w:t>
                      </w:r>
                    </w:p>
                    <w:p w14:paraId="03FD9A9D" w14:textId="77777777" w:rsidR="00CF4E5E" w:rsidRPr="002D1428" w:rsidRDefault="00CF4E5E" w:rsidP="00CF4E5E">
                      <w:pPr>
                        <w:numPr>
                          <w:ilvl w:val="0"/>
                          <w:numId w:val="11"/>
                        </w:numPr>
                        <w:rPr>
                          <w:sz w:val="20"/>
                        </w:rPr>
                      </w:pPr>
                      <w:r w:rsidRPr="002D1428">
                        <w:rPr>
                          <w:sz w:val="20"/>
                        </w:rPr>
                        <w:t>Employ proven strategies to diversify campus administration, faculty, staff and students.</w:t>
                      </w:r>
                    </w:p>
                    <w:p w14:paraId="747F2742" w14:textId="06093905" w:rsidR="00CF4E5E" w:rsidRDefault="00CF4E5E"/>
                  </w:txbxContent>
                </v:textbox>
                <w10:wrap type="square"/>
              </v:shape>
            </w:pict>
          </mc:Fallback>
        </mc:AlternateContent>
      </w:r>
      <w:r>
        <w:t xml:space="preserve">We must ensure that the mechanisms by which we recognize and reward faculty effort and achievements in areas that enhance equity, inclusion and diversity are aligned with our campus values. These values are evident in our </w:t>
      </w:r>
      <w:r w:rsidR="00DF158B">
        <w:t>current strategic plan</w:t>
      </w:r>
      <w:r>
        <w:t xml:space="preserve"> and have been referenced i</w:t>
      </w:r>
      <w:r w:rsidR="00C2294E">
        <w:t xml:space="preserve">n </w:t>
      </w:r>
      <w:r w:rsidR="00D62B1A">
        <w:t xml:space="preserve">our </w:t>
      </w:r>
      <w:hyperlink r:id="rId11" w:history="1">
        <w:r w:rsidR="00C2294E" w:rsidRPr="00C2294E">
          <w:rPr>
            <w:rStyle w:val="Hyperlink"/>
          </w:rPr>
          <w:t>Promotion and Tenure G</w:t>
        </w:r>
        <w:r w:rsidRPr="00C2294E">
          <w:rPr>
            <w:rStyle w:val="Hyperlink"/>
          </w:rPr>
          <w:t>uidelines</w:t>
        </w:r>
      </w:hyperlink>
      <w:r w:rsidR="002D654E">
        <w:rPr>
          <w:rStyle w:val="Hyperlink"/>
        </w:rPr>
        <w:t>.</w:t>
      </w:r>
      <w:r>
        <w:t xml:space="preserve"> </w:t>
      </w:r>
      <w:r w:rsidR="00DA4ED8">
        <w:t xml:space="preserve">In particular, </w:t>
      </w:r>
      <w:r w:rsidR="00D94052">
        <w:t xml:space="preserve">__ </w:t>
      </w:r>
      <w:r w:rsidR="002D654E">
        <w:t>our guidelines stipulate that</w:t>
      </w:r>
      <w:r w:rsidR="00D94052">
        <w:t xml:space="preserve"> “IUPUI is committed to providing, nurturing and enhancing a diverse community of </w:t>
      </w:r>
      <w:r w:rsidR="0016368A">
        <w:t xml:space="preserve">learners and scholars in an environment of equity and inclusion” and that “Faculty work that contributes to the diversity of learners and scholars at IUPUI and that enhances </w:t>
      </w:r>
      <w:r w:rsidR="00DD5275">
        <w:t xml:space="preserve">our environment of equity and inclusion </w:t>
      </w:r>
      <w:r w:rsidR="002C49CB">
        <w:t xml:space="preserve">is highly valued and </w:t>
      </w:r>
      <w:r w:rsidR="002C49CB" w:rsidRPr="00361744">
        <w:rPr>
          <w:i/>
          <w:iCs/>
        </w:rPr>
        <w:t>should be acknowledged and rewarded in the review process</w:t>
      </w:r>
      <w:r w:rsidR="002C49CB">
        <w:t xml:space="preserve"> (</w:t>
      </w:r>
      <w:hyperlink r:id="rId12" w:history="1">
        <w:r w:rsidR="007412D1" w:rsidRPr="00C2294E">
          <w:rPr>
            <w:rStyle w:val="Hyperlink"/>
          </w:rPr>
          <w:t>Promotion and Tenure Guidelines</w:t>
        </w:r>
      </w:hyperlink>
      <w:r w:rsidR="00B60ABD">
        <w:t xml:space="preserve">, </w:t>
      </w:r>
      <w:r w:rsidR="007412D1">
        <w:t xml:space="preserve">p. 6 </w:t>
      </w:r>
      <w:r w:rsidR="00B60ABD">
        <w:t>–</w:t>
      </w:r>
      <w:r w:rsidR="007412D1">
        <w:t xml:space="preserve"> 7</w:t>
      </w:r>
      <w:r w:rsidR="00B60ABD">
        <w:t>, emphasis added</w:t>
      </w:r>
      <w:r w:rsidR="007412D1">
        <w:t>)</w:t>
      </w:r>
      <w:r w:rsidR="00D62B1A">
        <w:t xml:space="preserve">. </w:t>
      </w:r>
      <w:r w:rsidR="00906B2A">
        <w:t xml:space="preserve">Though </w:t>
      </w:r>
      <w:r w:rsidR="00906B2A">
        <w:lastRenderedPageBreak/>
        <w:t>included in the IUPUI guidelines</w:t>
      </w:r>
      <w:r w:rsidR="00243E98">
        <w:t xml:space="preserve"> since </w:t>
      </w:r>
      <w:r w:rsidR="00361744">
        <w:t>2008,</w:t>
      </w:r>
      <w:r w:rsidR="00906B2A">
        <w:t xml:space="preserve"> there have been </w:t>
      </w:r>
      <w:r w:rsidR="00243E98">
        <w:t>few clear criteria provided for</w:t>
      </w:r>
      <w:r w:rsidR="00541461">
        <w:t xml:space="preserve"> evaluation. The proposed changes are aimed at rectifying this issue.</w:t>
      </w:r>
      <w:r w:rsidR="002C49CB">
        <w:t xml:space="preserve"> </w:t>
      </w:r>
      <w:r>
        <w:t xml:space="preserve"> </w:t>
      </w:r>
    </w:p>
    <w:p w14:paraId="2876DA83" w14:textId="78ED21E5" w:rsidR="00CF4E5E" w:rsidRDefault="00CF4E5E" w:rsidP="00CF4E5E">
      <w:r>
        <w:t xml:space="preserve">IUPUI </w:t>
      </w:r>
      <w:r w:rsidRPr="00CA289A">
        <w:t>currently</w:t>
      </w:r>
      <w:r>
        <w:t xml:space="preserve"> </w:t>
      </w:r>
      <w:r w:rsidR="00C2294E">
        <w:t>employs</w:t>
      </w:r>
      <w:r>
        <w:t xml:space="preserve"> faculty engaging in activities that advance diversity, equity and inclusion, some of whose most </w:t>
      </w:r>
      <w:r w:rsidR="00CA289A">
        <w:t xml:space="preserve">impactful </w:t>
      </w:r>
      <w:r>
        <w:t>work is not currently recognized or rewarded within the traditional P&amp;T system</w:t>
      </w:r>
      <w:r w:rsidR="00C2294E">
        <w:t>.</w:t>
      </w:r>
    </w:p>
    <w:p w14:paraId="5B26D0CF" w14:textId="77777777" w:rsidR="00201507" w:rsidRDefault="00201507" w:rsidP="00CF4E5E"/>
    <w:p w14:paraId="71249581" w14:textId="2459E4F4" w:rsidR="00CF4E5E" w:rsidRDefault="00CF4E5E" w:rsidP="00CF4E5E">
      <w:r>
        <w:t xml:space="preserve">IUPUI </w:t>
      </w:r>
      <w:r w:rsidR="00C2294E">
        <w:t>is committed to recruiting and retaining</w:t>
      </w:r>
      <w:r>
        <w:t xml:space="preserve"> new faculty who </w:t>
      </w:r>
      <w:r w:rsidR="00C2294E">
        <w:t>can help continue to advance</w:t>
      </w:r>
      <w:r>
        <w:t xml:space="preserve"> IUPUI as an institution.</w:t>
      </w:r>
      <w:r w:rsidR="00C2294E">
        <w:t xml:space="preserve"> The proposed changes to our campus criteria help to ensure that the language in our current </w:t>
      </w:r>
      <w:hyperlink r:id="rId13" w:history="1">
        <w:r w:rsidR="00C2294E" w:rsidRPr="00C2294E">
          <w:rPr>
            <w:rStyle w:val="Hyperlink"/>
          </w:rPr>
          <w:t>Promotion and Tenure Guidelines</w:t>
        </w:r>
      </w:hyperlink>
      <w:r w:rsidR="00C2294E">
        <w:t xml:space="preserve"> </w:t>
      </w:r>
      <w:r w:rsidR="0000438E">
        <w:t>is not mere rhetoric</w:t>
      </w:r>
      <w:r w:rsidR="00C2294E">
        <w:t xml:space="preserve">. Rather, </w:t>
      </w:r>
      <w:r>
        <w:t xml:space="preserve">IUPUI </w:t>
      </w:r>
      <w:r w:rsidR="00C2294E">
        <w:t xml:space="preserve">aspires to be a leader among higher education institutions </w:t>
      </w:r>
      <w:r w:rsidR="0000438E">
        <w:t>actively working</w:t>
      </w:r>
      <w:r w:rsidR="00C2294E">
        <w:t xml:space="preserve"> to systemically integrate its core values into the processes through which faculty work</w:t>
      </w:r>
      <w:r w:rsidR="00AE3992">
        <w:t xml:space="preserve"> is reviewed</w:t>
      </w:r>
      <w:r w:rsidR="00C2294E">
        <w:t xml:space="preserve">. </w:t>
      </w:r>
      <w:r>
        <w:t xml:space="preserve"> </w:t>
      </w:r>
    </w:p>
    <w:p w14:paraId="53E25435" w14:textId="2CC55670" w:rsidR="0099234D" w:rsidRDefault="0099234D" w:rsidP="00CF4E5E"/>
    <w:p w14:paraId="2991D0B8" w14:textId="3BF5EC3E" w:rsidR="0099234D" w:rsidRDefault="0099234D" w:rsidP="00CF4E5E">
      <w:r>
        <w:t>The proposed changes are entirely consistent with IU Policy</w:t>
      </w:r>
      <w:r w:rsidR="00971C2C">
        <w:t xml:space="preserve"> on Faculty and Librarian Promotions</w:t>
      </w:r>
      <w:r>
        <w:t>, which states that</w:t>
      </w:r>
      <w:r w:rsidR="00494CEF">
        <w:t>, “Promotion considerations must take into account, however, differences in mission between campuses, and between schools within some campuses, as well as the individual’s contribution to the school/campus mission</w:t>
      </w:r>
      <w:r w:rsidR="00597EC3">
        <w:t xml:space="preserve">,” and that “a candidate may present evidence of </w:t>
      </w:r>
      <w:r w:rsidR="00597EC3" w:rsidRPr="00361744">
        <w:rPr>
          <w:i/>
          <w:iCs/>
        </w:rPr>
        <w:t>balanced strengths that promise excellent overall performance</w:t>
      </w:r>
      <w:r w:rsidR="00597EC3">
        <w:t xml:space="preserve"> of comparable benefit to the university” (emphasis added, </w:t>
      </w:r>
      <w:r w:rsidR="004771F2">
        <w:t>ACA-38)</w:t>
      </w:r>
      <w:r w:rsidR="00971C2C">
        <w:t>.</w:t>
      </w:r>
    </w:p>
    <w:p w14:paraId="6BC87112" w14:textId="2A5098AD" w:rsidR="00C24ACA" w:rsidRPr="00BD6C12" w:rsidRDefault="00C24ACA" w:rsidP="002D1428">
      <w:pPr>
        <w:pStyle w:val="ListParagraph"/>
        <w:ind w:left="0"/>
      </w:pPr>
    </w:p>
    <w:p w14:paraId="7AEA19BF" w14:textId="730B499E" w:rsidR="00C2294E" w:rsidRPr="002D1428" w:rsidRDefault="00C2294E" w:rsidP="00C2294E">
      <w:pPr>
        <w:pStyle w:val="ListParagraph"/>
        <w:numPr>
          <w:ilvl w:val="0"/>
          <w:numId w:val="12"/>
        </w:numPr>
        <w:ind w:left="630"/>
        <w:rPr>
          <w:b/>
          <w:sz w:val="28"/>
        </w:rPr>
      </w:pPr>
      <w:r w:rsidRPr="002D1428">
        <w:rPr>
          <w:b/>
          <w:sz w:val="28"/>
        </w:rPr>
        <w:t xml:space="preserve">Criteria for the </w:t>
      </w:r>
      <w:r w:rsidR="00361744">
        <w:rPr>
          <w:b/>
          <w:sz w:val="28"/>
        </w:rPr>
        <w:t>Balanced-</w:t>
      </w:r>
      <w:r w:rsidRPr="002D1428">
        <w:rPr>
          <w:b/>
          <w:sz w:val="28"/>
        </w:rPr>
        <w:t>Integrative DEI Case</w:t>
      </w:r>
    </w:p>
    <w:p w14:paraId="33B5E6F9" w14:textId="47FD3375" w:rsidR="00D62B4D" w:rsidRDefault="00D62B4D" w:rsidP="002D1428">
      <w:pPr>
        <w:rPr>
          <w:b/>
        </w:rPr>
      </w:pPr>
    </w:p>
    <w:p w14:paraId="5D24B854" w14:textId="4D9B48F2" w:rsidR="00DB20A9" w:rsidRPr="00DB20A9" w:rsidRDefault="00DB20A9" w:rsidP="002D1428">
      <w:pPr>
        <w:rPr>
          <w:color w:val="70AD47" w:themeColor="accent6"/>
        </w:rPr>
      </w:pPr>
      <w:r>
        <w:rPr>
          <w:color w:val="70AD47" w:themeColor="accent6"/>
        </w:rPr>
        <w:t xml:space="preserve">The </w:t>
      </w:r>
      <w:r w:rsidR="00361744">
        <w:rPr>
          <w:color w:val="70AD47" w:themeColor="accent6"/>
        </w:rPr>
        <w:t>Balanced-</w:t>
      </w:r>
      <w:r>
        <w:rPr>
          <w:color w:val="70AD47" w:themeColor="accent6"/>
        </w:rPr>
        <w:t xml:space="preserve">Integrative DEI Case is a </w:t>
      </w:r>
      <w:r w:rsidR="00B66B58">
        <w:rPr>
          <w:color w:val="70AD47" w:themeColor="accent6"/>
        </w:rPr>
        <w:t>variant</w:t>
      </w:r>
      <w:r>
        <w:rPr>
          <w:color w:val="70AD47" w:themeColor="accent6"/>
        </w:rPr>
        <w:t xml:space="preserve"> of the balanced case.  </w:t>
      </w:r>
    </w:p>
    <w:p w14:paraId="697DF295" w14:textId="77777777" w:rsidR="00B66B58" w:rsidRDefault="00B66B58" w:rsidP="002D1428"/>
    <w:p w14:paraId="7A269564" w14:textId="60F88C90" w:rsidR="00D62B4D" w:rsidRPr="00DB20A9" w:rsidRDefault="00D62B4D" w:rsidP="002D1428">
      <w:pPr>
        <w:rPr>
          <w:color w:val="70AD47" w:themeColor="accent6"/>
        </w:rPr>
      </w:pPr>
      <w:r>
        <w:t xml:space="preserve">These criteria are inclusive and complete. That is, a candidate under review for promotion through an integrative case would not also be evaluated against criteria for excellence (in research, teaching, or service) or against </w:t>
      </w:r>
      <w:r w:rsidR="000D453E">
        <w:t xml:space="preserve">the </w:t>
      </w:r>
      <w:r w:rsidR="00DB20A9" w:rsidRPr="00DB20A9">
        <w:rPr>
          <w:color w:val="70AD47" w:themeColor="accent6"/>
        </w:rPr>
        <w:t xml:space="preserve">previous </w:t>
      </w:r>
      <w:r>
        <w:t xml:space="preserve">balanced case </w:t>
      </w:r>
      <w:r w:rsidR="000D453E">
        <w:t>binned structure</w:t>
      </w:r>
      <w:r>
        <w:t>.</w:t>
      </w:r>
      <w:r w:rsidR="00DB20A9">
        <w:t xml:space="preserve">  </w:t>
      </w:r>
      <w:r w:rsidR="00DB20A9" w:rsidRPr="00DB20A9">
        <w:rPr>
          <w:color w:val="70AD47" w:themeColor="accent6"/>
        </w:rPr>
        <w:t>Th</w:t>
      </w:r>
      <w:r w:rsidR="000D453E">
        <w:rPr>
          <w:color w:val="70AD47" w:themeColor="accent6"/>
        </w:rPr>
        <w:t>e “</w:t>
      </w:r>
      <w:r w:rsidR="00DB20A9" w:rsidRPr="00DB20A9">
        <w:rPr>
          <w:color w:val="70AD47" w:themeColor="accent6"/>
        </w:rPr>
        <w:t>balance</w:t>
      </w:r>
      <w:r w:rsidR="000D453E">
        <w:rPr>
          <w:color w:val="70AD47" w:themeColor="accent6"/>
        </w:rPr>
        <w:t>d</w:t>
      </w:r>
      <w:r w:rsidR="00DB20A9" w:rsidRPr="00DB20A9">
        <w:rPr>
          <w:color w:val="70AD47" w:themeColor="accent6"/>
        </w:rPr>
        <w:t xml:space="preserve"> case</w:t>
      </w:r>
      <w:r w:rsidR="000D453E">
        <w:rPr>
          <w:color w:val="70AD47" w:themeColor="accent6"/>
        </w:rPr>
        <w:t xml:space="preserve">-binned-highly satisfactory” case has not been removed; </w:t>
      </w:r>
      <w:r w:rsidR="00DB20A9" w:rsidRPr="00DB20A9">
        <w:rPr>
          <w:color w:val="70AD47" w:themeColor="accent6"/>
        </w:rPr>
        <w:t xml:space="preserve">this type of case </w:t>
      </w:r>
      <w:r w:rsidR="000D453E">
        <w:rPr>
          <w:color w:val="70AD47" w:themeColor="accent6"/>
        </w:rPr>
        <w:t>“balanced-i</w:t>
      </w:r>
      <w:r w:rsidR="00DB20A9" w:rsidRPr="00DB20A9">
        <w:rPr>
          <w:color w:val="70AD47" w:themeColor="accent6"/>
        </w:rPr>
        <w:t>ntegrative</w:t>
      </w:r>
      <w:r w:rsidR="000D453E">
        <w:rPr>
          <w:color w:val="70AD47" w:themeColor="accent6"/>
        </w:rPr>
        <w:t>-DEI”</w:t>
      </w:r>
      <w:r w:rsidR="00DB20A9" w:rsidRPr="00DB20A9">
        <w:rPr>
          <w:color w:val="70AD47" w:themeColor="accent6"/>
        </w:rPr>
        <w:t>) has been added.  For IU routing, all Integrative cases will be labelled as Balanced.</w:t>
      </w:r>
    </w:p>
    <w:p w14:paraId="0B004F66" w14:textId="36D9223C" w:rsidR="00D62B4D" w:rsidRDefault="00D62B4D" w:rsidP="002D1428"/>
    <w:p w14:paraId="6D2DD501" w14:textId="4DB6337E" w:rsidR="00A01738" w:rsidRDefault="00A01738" w:rsidP="00A01738">
      <w:r w:rsidRPr="00361744">
        <w:t xml:space="preserve">The Integrative DEI candidate must present </w:t>
      </w:r>
      <w:r w:rsidR="008D57CE">
        <w:t>integrative</w:t>
      </w:r>
      <w:r w:rsidRPr="00361744">
        <w:t xml:space="preserve"> evidence that amounts to excellence in value to the university. </w:t>
      </w:r>
      <w:r w:rsidR="00C8647B" w:rsidRPr="00361744">
        <w:t xml:space="preserve">It is important to note that Integrative DEI </w:t>
      </w:r>
      <w:r w:rsidR="007448DC" w:rsidRPr="00361744">
        <w:t xml:space="preserve">cases are reviewed holistically and represent a marked departure from </w:t>
      </w:r>
      <w:r w:rsidR="00C8647B" w:rsidRPr="00361744">
        <w:t>making clear distinction</w:t>
      </w:r>
      <w:r w:rsidR="007448DC" w:rsidRPr="00361744">
        <w:t>s</w:t>
      </w:r>
      <w:r w:rsidR="00C8647B" w:rsidRPr="00361744">
        <w:t xml:space="preserve"> </w:t>
      </w:r>
      <w:r w:rsidR="007448DC" w:rsidRPr="00361744">
        <w:t>among</w:t>
      </w:r>
      <w:r w:rsidR="00C8647B" w:rsidRPr="00361744">
        <w:t xml:space="preserve"> research, teaching and service as separate areas of review.</w:t>
      </w:r>
      <w:r w:rsidR="007448DC" w:rsidRPr="00361744">
        <w:t xml:space="preserve"> </w:t>
      </w:r>
      <w:r w:rsidR="00A95372" w:rsidRPr="00361744">
        <w:t xml:space="preserve">Cases </w:t>
      </w:r>
      <w:r w:rsidR="005A039F" w:rsidRPr="00361744">
        <w:t>present a</w:t>
      </w:r>
      <w:r w:rsidR="00F247EB">
        <w:t xml:space="preserve"> comprehensive </w:t>
      </w:r>
      <w:r w:rsidR="005A039F" w:rsidRPr="00361744">
        <w:t>argument for excellence across an integrated array of scholarly activities aligned with diversity, equity and inclusion.</w:t>
      </w:r>
      <w:r w:rsidR="00F247EB">
        <w:rPr>
          <w:rStyle w:val="FootnoteReference"/>
        </w:rPr>
        <w:footnoteReference w:id="2"/>
      </w:r>
      <w:r w:rsidR="005A039F" w:rsidRPr="00361744">
        <w:t xml:space="preserve"> </w:t>
      </w:r>
      <w:r w:rsidRPr="00361744">
        <w:t xml:space="preserve"> </w:t>
      </w:r>
    </w:p>
    <w:p w14:paraId="430335A5" w14:textId="77777777" w:rsidR="00A01738" w:rsidRDefault="00A01738" w:rsidP="002D1428"/>
    <w:p w14:paraId="113F74B2" w14:textId="77777777" w:rsidR="000F5104" w:rsidRDefault="000F5104" w:rsidP="00D97FA5">
      <w:pPr>
        <w:rPr>
          <w:b/>
          <w:bCs/>
        </w:rPr>
      </w:pPr>
    </w:p>
    <w:p w14:paraId="05609E17" w14:textId="3AF06BB9" w:rsidR="00765EC4" w:rsidRDefault="00D8740A" w:rsidP="00D97FA5">
      <w:r>
        <w:rPr>
          <w:b/>
          <w:bCs/>
        </w:rPr>
        <w:t xml:space="preserve">Excellence:  </w:t>
      </w:r>
      <w:r w:rsidR="00D97FA5">
        <w:t xml:space="preserve">The candidate demonstrates excellence </w:t>
      </w:r>
      <w:r w:rsidR="00765EC4">
        <w:t xml:space="preserve">across </w:t>
      </w:r>
      <w:r w:rsidR="00D97FA5">
        <w:t xml:space="preserve">an </w:t>
      </w:r>
      <w:r w:rsidR="00765EC4">
        <w:t xml:space="preserve">array of </w:t>
      </w:r>
      <w:r w:rsidR="00D97FA5">
        <w:t>integrated</w:t>
      </w:r>
      <w:r w:rsidR="00765EC4">
        <w:t xml:space="preserve"> scholarly activities aligned with</w:t>
      </w:r>
      <w:r w:rsidR="00D97FA5">
        <w:t xml:space="preserve"> diversity, equity and </w:t>
      </w:r>
      <w:r w:rsidR="00765EC4">
        <w:t>inclusion</w:t>
      </w:r>
      <w:r w:rsidR="00D97FA5">
        <w:t xml:space="preserve">.  The candidate </w:t>
      </w:r>
      <w:r w:rsidR="00B57F40">
        <w:t xml:space="preserve">achieves “excellent overall </w:t>
      </w:r>
      <w:r w:rsidR="00B57F40">
        <w:lastRenderedPageBreak/>
        <w:t>performance of comparable benefit to the university.”</w:t>
      </w:r>
      <w:r w:rsidR="00B57F40">
        <w:rPr>
          <w:rStyle w:val="FootnoteReference"/>
        </w:rPr>
        <w:footnoteReference w:id="3"/>
      </w:r>
      <w:r w:rsidR="00B57F40">
        <w:t xml:space="preserve">  </w:t>
      </w:r>
      <w:r w:rsidR="002171FD">
        <w:rPr>
          <w:color w:val="70AD47" w:themeColor="accent6"/>
        </w:rPr>
        <w:t>All</w:t>
      </w:r>
      <w:r w:rsidR="002171FD" w:rsidRPr="00DB20A9">
        <w:rPr>
          <w:color w:val="70AD47" w:themeColor="accent6"/>
        </w:rPr>
        <w:t xml:space="preserve"> </w:t>
      </w:r>
      <w:r w:rsidR="00DB20A9" w:rsidRPr="00DB20A9">
        <w:rPr>
          <w:color w:val="70AD47" w:themeColor="accent6"/>
        </w:rPr>
        <w:t xml:space="preserve">of </w:t>
      </w:r>
      <w:r w:rsidR="00DB20A9">
        <w:t>t</w:t>
      </w:r>
      <w:r w:rsidR="00B57F40">
        <w:t>he following should be evident, using multiple sources of information</w:t>
      </w:r>
      <w:r w:rsidR="00765EC4">
        <w:t>:</w:t>
      </w:r>
    </w:p>
    <w:p w14:paraId="7A49E273" w14:textId="77777777" w:rsidR="00D62B4D" w:rsidRDefault="00D62B4D" w:rsidP="00D97FA5"/>
    <w:tbl>
      <w:tblPr>
        <w:tblStyle w:val="TableGrid"/>
        <w:tblW w:w="0" w:type="auto"/>
        <w:tblLook w:val="04A0" w:firstRow="1" w:lastRow="0" w:firstColumn="1" w:lastColumn="0" w:noHBand="0" w:noVBand="1"/>
      </w:tblPr>
      <w:tblGrid>
        <w:gridCol w:w="2965"/>
        <w:gridCol w:w="6385"/>
      </w:tblGrid>
      <w:tr w:rsidR="00765EC4" w14:paraId="3F915141" w14:textId="77777777" w:rsidTr="002D1428">
        <w:tc>
          <w:tcPr>
            <w:tcW w:w="2965" w:type="dxa"/>
          </w:tcPr>
          <w:p w14:paraId="3412DF13" w14:textId="77777777" w:rsidR="00D62B4D" w:rsidRPr="002D1428" w:rsidRDefault="00D62B4D" w:rsidP="00D97FA5">
            <w:pPr>
              <w:rPr>
                <w:b/>
              </w:rPr>
            </w:pPr>
          </w:p>
          <w:p w14:paraId="21C6B655" w14:textId="73EBB1DA" w:rsidR="00765EC4" w:rsidRPr="002D1428" w:rsidRDefault="00765EC4" w:rsidP="00D97FA5">
            <w:pPr>
              <w:rPr>
                <w:b/>
              </w:rPr>
            </w:pPr>
            <w:r w:rsidRPr="002D1428">
              <w:rPr>
                <w:b/>
              </w:rPr>
              <w:t>Diversity, Equity and Inclusion</w:t>
            </w:r>
          </w:p>
        </w:tc>
        <w:tc>
          <w:tcPr>
            <w:tcW w:w="6385" w:type="dxa"/>
          </w:tcPr>
          <w:p w14:paraId="5F4D9D1D" w14:textId="339F2628" w:rsidR="00765EC4" w:rsidRDefault="00765EC4" w:rsidP="00D97FA5">
            <w:r>
              <w:t>The candidate articulates a philosophy</w:t>
            </w:r>
            <w:r>
              <w:rPr>
                <w:rStyle w:val="FootnoteReference"/>
              </w:rPr>
              <w:footnoteReference w:id="4"/>
            </w:r>
            <w:r>
              <w:t xml:space="preserve"> of diversity, equity and inclusion, including if appropriate any specifically targeted aspect.</w:t>
            </w:r>
          </w:p>
        </w:tc>
      </w:tr>
      <w:tr w:rsidR="00765EC4" w14:paraId="3D91DFAF" w14:textId="77777777" w:rsidTr="002D1428">
        <w:tc>
          <w:tcPr>
            <w:tcW w:w="2965" w:type="dxa"/>
          </w:tcPr>
          <w:p w14:paraId="44E6FDC9" w14:textId="637C1F0B" w:rsidR="00765EC4" w:rsidRPr="002D1428" w:rsidRDefault="00765EC4" w:rsidP="00D97FA5">
            <w:pPr>
              <w:rPr>
                <w:b/>
              </w:rPr>
            </w:pPr>
            <w:r w:rsidRPr="002D1428">
              <w:rPr>
                <w:b/>
              </w:rPr>
              <w:t>Integrated Activity</w:t>
            </w:r>
          </w:p>
        </w:tc>
        <w:tc>
          <w:tcPr>
            <w:tcW w:w="6385" w:type="dxa"/>
          </w:tcPr>
          <w:p w14:paraId="6CA2D352" w14:textId="06AF425C" w:rsidR="00765EC4" w:rsidRDefault="00765EC4" w:rsidP="00D97FA5">
            <w:r>
              <w:t>The candidate has interrelated activities and accomplishments as an IUPUI faculty member in teaching, research and service which demonstrably support and advance diversity, equity and inclusion.</w:t>
            </w:r>
          </w:p>
        </w:tc>
      </w:tr>
      <w:tr w:rsidR="00765EC4" w14:paraId="1DCB01B9" w14:textId="77777777" w:rsidTr="002D1428">
        <w:tc>
          <w:tcPr>
            <w:tcW w:w="2965" w:type="dxa"/>
          </w:tcPr>
          <w:p w14:paraId="203F0FD2" w14:textId="128CAB04" w:rsidR="00765EC4" w:rsidRPr="002D1428" w:rsidRDefault="00765EC4" w:rsidP="00D97FA5">
            <w:pPr>
              <w:rPr>
                <w:b/>
              </w:rPr>
            </w:pPr>
            <w:r w:rsidRPr="002D1428">
              <w:rPr>
                <w:b/>
              </w:rPr>
              <w:t>Independence, Innovation and Initiative</w:t>
            </w:r>
          </w:p>
        </w:tc>
        <w:tc>
          <w:tcPr>
            <w:tcW w:w="6385" w:type="dxa"/>
          </w:tcPr>
          <w:p w14:paraId="2E4EBD90" w14:textId="095B5D0F" w:rsidR="00765EC4" w:rsidRDefault="00765EC4" w:rsidP="00CC57D4">
            <w:r w:rsidRPr="00676722">
              <w:rPr>
                <w:color w:val="000000" w:themeColor="text1"/>
              </w:rPr>
              <w:t xml:space="preserve">The candidate articulates their personal role as an essential </w:t>
            </w:r>
            <w:r w:rsidRPr="003964F4">
              <w:t>and generative actor</w:t>
            </w:r>
            <w:r w:rsidRPr="00676722">
              <w:t xml:space="preserve"> </w:t>
            </w:r>
            <w:r>
              <w:t xml:space="preserve">within diversity initiatives.   Interdependence and teamwork are valued as well as </w:t>
            </w:r>
            <w:r w:rsidR="00CC57D4">
              <w:t>contributions to group</w:t>
            </w:r>
            <w:r>
              <w:t xml:space="preserve"> achievements; the candidate needs to describe their own roles and responsibilities.</w:t>
            </w:r>
          </w:p>
        </w:tc>
      </w:tr>
      <w:tr w:rsidR="00765EC4" w14:paraId="4F1E8D5F" w14:textId="77777777" w:rsidTr="002D1428">
        <w:tc>
          <w:tcPr>
            <w:tcW w:w="2965" w:type="dxa"/>
          </w:tcPr>
          <w:p w14:paraId="100DE9D5" w14:textId="16E1D91F" w:rsidR="00765EC4" w:rsidRPr="002D1428" w:rsidRDefault="00765EC4" w:rsidP="00D97FA5">
            <w:pPr>
              <w:rPr>
                <w:b/>
              </w:rPr>
            </w:pPr>
            <w:r w:rsidRPr="002D1428">
              <w:rPr>
                <w:b/>
              </w:rPr>
              <w:t>Scholarly</w:t>
            </w:r>
            <w:r w:rsidRPr="002D1428">
              <w:rPr>
                <w:rStyle w:val="FootnoteReference"/>
                <w:b/>
              </w:rPr>
              <w:footnoteReference w:id="5"/>
            </w:r>
            <w:r w:rsidRPr="002D1428">
              <w:rPr>
                <w:b/>
              </w:rPr>
              <w:t xml:space="preserve"> </w:t>
            </w:r>
            <w:r w:rsidR="00DB20A9">
              <w:rPr>
                <w:b/>
              </w:rPr>
              <w:t>impact</w:t>
            </w:r>
          </w:p>
        </w:tc>
        <w:tc>
          <w:tcPr>
            <w:tcW w:w="6385" w:type="dxa"/>
          </w:tcPr>
          <w:p w14:paraId="00D038C5" w14:textId="5E000D97" w:rsidR="00765EC4" w:rsidRDefault="00765EC4" w:rsidP="00D97FA5">
            <w:r>
              <w:t>Often but not exclusively facilitated by p</w:t>
            </w:r>
            <w:r w:rsidRPr="0023342B">
              <w:t>eer-</w:t>
            </w:r>
            <w:r>
              <w:t>reviewed dissemination</w:t>
            </w:r>
            <w:r>
              <w:rPr>
                <w:rStyle w:val="FootnoteReference"/>
              </w:rPr>
              <w:footnoteReference w:id="6"/>
            </w:r>
            <w:r>
              <w:t xml:space="preserve">; a variety of venues for dissemination are accepted; metrics can be developed using researchmetrics.iupui.edu.  </w:t>
            </w:r>
          </w:p>
        </w:tc>
      </w:tr>
      <w:tr w:rsidR="00765EC4" w14:paraId="2CA3099E" w14:textId="77777777" w:rsidTr="002D1428">
        <w:tc>
          <w:tcPr>
            <w:tcW w:w="2965" w:type="dxa"/>
          </w:tcPr>
          <w:p w14:paraId="1CB8EC8E" w14:textId="4F01571E" w:rsidR="00765EC4" w:rsidRPr="002D1428" w:rsidRDefault="00765EC4" w:rsidP="00D97FA5">
            <w:pPr>
              <w:rPr>
                <w:b/>
              </w:rPr>
            </w:pPr>
            <w:r w:rsidRPr="002D1428">
              <w:rPr>
                <w:b/>
              </w:rPr>
              <w:t>Local Impact</w:t>
            </w:r>
          </w:p>
        </w:tc>
        <w:tc>
          <w:tcPr>
            <w:tcW w:w="6385" w:type="dxa"/>
          </w:tcPr>
          <w:p w14:paraId="7D57CEBC" w14:textId="2A79A4E9" w:rsidR="00765EC4" w:rsidRPr="002D1428" w:rsidRDefault="00D62B4D" w:rsidP="00D97FA5">
            <w:pPr>
              <w:rPr>
                <w:b/>
              </w:rPr>
            </w:pPr>
            <w:r>
              <w:t>Effective</w:t>
            </w:r>
            <w:r w:rsidR="00765EC4">
              <w:t xml:space="preserve"> evaluation of diversity, equity and inclusion initiatives should demonstrate distinct outcomes.  Tying to unit (program, department, school, campus or university) missions strengthens the importance of the impact</w:t>
            </w:r>
            <w:r w:rsidR="006B168A">
              <w:t xml:space="preserve"> (e.g., </w:t>
            </w:r>
            <w:r w:rsidR="00DD0908">
              <w:t>contributing to local communities using professional expertise</w:t>
            </w:r>
            <w:r w:rsidR="006B168A">
              <w:t>, recruiting diverse students to undergraduate or graduate programs</w:t>
            </w:r>
            <w:r w:rsidR="00312FFC">
              <w:t>, diversifying curricula, etc.).</w:t>
            </w:r>
            <w:r w:rsidR="00DD0908">
              <w:t xml:space="preserve"> </w:t>
            </w:r>
          </w:p>
        </w:tc>
      </w:tr>
      <w:tr w:rsidR="00765EC4" w14:paraId="2BB59697" w14:textId="77777777" w:rsidTr="002D1428">
        <w:tc>
          <w:tcPr>
            <w:tcW w:w="2965" w:type="dxa"/>
          </w:tcPr>
          <w:p w14:paraId="1CDAF77A" w14:textId="0A54B06B" w:rsidR="00765EC4" w:rsidRPr="002D1428" w:rsidRDefault="00765EC4" w:rsidP="00D97FA5">
            <w:pPr>
              <w:rPr>
                <w:b/>
              </w:rPr>
            </w:pPr>
            <w:r w:rsidRPr="002D1428">
              <w:rPr>
                <w:b/>
              </w:rPr>
              <w:t>Future Plans</w:t>
            </w:r>
          </w:p>
        </w:tc>
        <w:tc>
          <w:tcPr>
            <w:tcW w:w="6385" w:type="dxa"/>
          </w:tcPr>
          <w:p w14:paraId="1754CFD3" w14:textId="17056331" w:rsidR="00765EC4" w:rsidRDefault="00765EC4" w:rsidP="00D97FA5">
            <w:r>
              <w:t>A candidate’s statement should describe plans for future</w:t>
            </w:r>
            <w:r w:rsidR="003F7E25">
              <w:t xml:space="preserve"> development</w:t>
            </w:r>
            <w:r>
              <w:t xml:space="preserve">.  </w:t>
            </w:r>
          </w:p>
        </w:tc>
      </w:tr>
    </w:tbl>
    <w:p w14:paraId="7FEF71FD" w14:textId="77777777" w:rsidR="00765EC4" w:rsidRDefault="00765EC4" w:rsidP="00D97FA5"/>
    <w:p w14:paraId="0C2B9A4A" w14:textId="77777777" w:rsidR="0015628F" w:rsidRDefault="0015628F" w:rsidP="0015628F">
      <w:pPr>
        <w:rPr>
          <w:i/>
          <w:iCs/>
        </w:rPr>
      </w:pPr>
    </w:p>
    <w:p w14:paraId="5F998091" w14:textId="10549302" w:rsidR="0015628F" w:rsidRDefault="00D62B4D" w:rsidP="0015628F">
      <w:r>
        <w:rPr>
          <w:b/>
          <w:bCs/>
        </w:rPr>
        <w:t>R</w:t>
      </w:r>
      <w:r w:rsidR="00D8740A">
        <w:rPr>
          <w:b/>
          <w:bCs/>
        </w:rPr>
        <w:t xml:space="preserve">ank:  </w:t>
      </w:r>
      <w:r w:rsidR="0015628F" w:rsidRPr="002D1428">
        <w:rPr>
          <w:iCs/>
        </w:rPr>
        <w:t>At the</w:t>
      </w:r>
      <w:r w:rsidR="0015628F">
        <w:rPr>
          <w:i/>
          <w:iCs/>
        </w:rPr>
        <w:t xml:space="preserve"> </w:t>
      </w:r>
      <w:r w:rsidR="0015628F" w:rsidRPr="002D1428">
        <w:rPr>
          <w:b/>
          <w:i/>
          <w:iCs/>
        </w:rPr>
        <w:t xml:space="preserve">associate </w:t>
      </w:r>
      <w:r>
        <w:rPr>
          <w:b/>
          <w:i/>
          <w:iCs/>
        </w:rPr>
        <w:t xml:space="preserve">professor </w:t>
      </w:r>
      <w:r w:rsidR="0015628F" w:rsidRPr="002D1428">
        <w:rPr>
          <w:b/>
          <w:i/>
          <w:iCs/>
        </w:rPr>
        <w:t>level</w:t>
      </w:r>
      <w:r w:rsidR="0015628F">
        <w:rPr>
          <w:i/>
          <w:iCs/>
        </w:rPr>
        <w:t xml:space="preserve"> </w:t>
      </w:r>
      <w:r w:rsidR="0015628F">
        <w:t xml:space="preserve">the candidate should have led or been an essential part of endeavors with distinct and demonstrable local outcomes.  </w:t>
      </w:r>
      <w:r w:rsidR="000D453E">
        <w:rPr>
          <w:color w:val="70AD47" w:themeColor="accent6"/>
        </w:rPr>
        <w:t>N</w:t>
      </w:r>
      <w:r w:rsidR="00DB20A9" w:rsidRPr="00DB20A9">
        <w:rPr>
          <w:color w:val="70AD47" w:themeColor="accent6"/>
        </w:rPr>
        <w:t>ational</w:t>
      </w:r>
      <w:r w:rsidR="0015628F">
        <w:t xml:space="preserve"> </w:t>
      </w:r>
      <w:r w:rsidR="000D453E">
        <w:t xml:space="preserve">or international </w:t>
      </w:r>
      <w:r w:rsidR="0015628F">
        <w:t xml:space="preserve">dissemination is </w:t>
      </w:r>
      <w:r w:rsidR="00DB20A9" w:rsidRPr="00DB20A9">
        <w:rPr>
          <w:color w:val="70AD47" w:themeColor="accent6"/>
        </w:rPr>
        <w:t xml:space="preserve">also </w:t>
      </w:r>
      <w:r w:rsidR="0015628F">
        <w:t xml:space="preserve">expected as a reflection of the quality of the work.  At the </w:t>
      </w:r>
      <w:r w:rsidR="0015628F" w:rsidRPr="002D1428">
        <w:rPr>
          <w:b/>
          <w:i/>
          <w:iCs/>
        </w:rPr>
        <w:t>full professor</w:t>
      </w:r>
      <w:r w:rsidR="0015628F">
        <w:rPr>
          <w:i/>
          <w:iCs/>
        </w:rPr>
        <w:t xml:space="preserve"> </w:t>
      </w:r>
      <w:proofErr w:type="gramStart"/>
      <w:r w:rsidR="0015628F" w:rsidRPr="002D1428">
        <w:rPr>
          <w:iCs/>
        </w:rPr>
        <w:t>level</w:t>
      </w:r>
      <w:proofErr w:type="gramEnd"/>
      <w:r w:rsidR="0015628F">
        <w:rPr>
          <w:i/>
          <w:iCs/>
        </w:rPr>
        <w:t xml:space="preserve"> </w:t>
      </w:r>
      <w:r w:rsidR="0015628F">
        <w:t xml:space="preserve">the candidate should be seen as a local leader and also have achieved a national </w:t>
      </w:r>
      <w:r w:rsidR="007A0A98">
        <w:t xml:space="preserve">or international </w:t>
      </w:r>
      <w:r w:rsidR="00B66B58">
        <w:t>reputation through their work</w:t>
      </w:r>
      <w:r w:rsidR="0015628F">
        <w:t xml:space="preserve">.  </w:t>
      </w:r>
    </w:p>
    <w:p w14:paraId="1202AB54" w14:textId="77777777" w:rsidR="00DF158B" w:rsidRDefault="00DF158B" w:rsidP="0015628F"/>
    <w:p w14:paraId="085624EB" w14:textId="3E561EB7" w:rsidR="0015628F" w:rsidRDefault="0015628F" w:rsidP="0015628F"/>
    <w:p w14:paraId="2ACCCCDD" w14:textId="10C8084D" w:rsidR="00D62B4D" w:rsidRPr="002D1428" w:rsidRDefault="00D62B4D" w:rsidP="00D62B4D">
      <w:pPr>
        <w:pStyle w:val="ListParagraph"/>
        <w:numPr>
          <w:ilvl w:val="0"/>
          <w:numId w:val="12"/>
        </w:numPr>
        <w:ind w:left="630"/>
        <w:rPr>
          <w:b/>
          <w:sz w:val="28"/>
        </w:rPr>
      </w:pPr>
      <w:r w:rsidRPr="002D1428">
        <w:rPr>
          <w:b/>
          <w:sz w:val="28"/>
        </w:rPr>
        <w:t>Documentation of Activities in the Dossier</w:t>
      </w:r>
    </w:p>
    <w:p w14:paraId="64F33E06" w14:textId="126BA4A8" w:rsidR="00D62B4D" w:rsidRDefault="00D62B4D" w:rsidP="002D1428">
      <w:pPr>
        <w:rPr>
          <w:b/>
        </w:rPr>
      </w:pPr>
    </w:p>
    <w:p w14:paraId="46988D3C" w14:textId="51F607D9" w:rsidR="00D62B4D" w:rsidRPr="00D62B4D" w:rsidRDefault="00CC57D4" w:rsidP="002D1428">
      <w:r>
        <w:t xml:space="preserve">The basic format for constructing the dossier to reflect the integrative case is listed below: </w:t>
      </w:r>
    </w:p>
    <w:p w14:paraId="08E527FA" w14:textId="77777777" w:rsidR="00D62B4D" w:rsidRDefault="00D62B4D" w:rsidP="0015628F"/>
    <w:p w14:paraId="1E9DA113" w14:textId="09837EC9" w:rsidR="00CC57D4" w:rsidRDefault="004230C7" w:rsidP="002D1428">
      <w:pPr>
        <w:pStyle w:val="ListParagraph"/>
        <w:numPr>
          <w:ilvl w:val="0"/>
          <w:numId w:val="14"/>
        </w:numPr>
        <w:ind w:left="540"/>
      </w:pPr>
      <w:r w:rsidRPr="00CC57D4">
        <w:t xml:space="preserve">Candidate </w:t>
      </w:r>
      <w:r w:rsidR="00CC57D4" w:rsidRPr="002D1428">
        <w:t>S</w:t>
      </w:r>
      <w:r w:rsidRPr="00CC57D4">
        <w:t>tatement</w:t>
      </w:r>
    </w:p>
    <w:p w14:paraId="0CE81AFC" w14:textId="14A39953" w:rsidR="004230C7" w:rsidRPr="00CC57D4" w:rsidRDefault="004230C7" w:rsidP="002D1428">
      <w:pPr>
        <w:pStyle w:val="ListParagraph"/>
        <w:ind w:left="540"/>
      </w:pPr>
    </w:p>
    <w:p w14:paraId="32D312F1" w14:textId="0B7DC0A2" w:rsidR="00992674" w:rsidRDefault="004230C7" w:rsidP="00CC57D4">
      <w:pPr>
        <w:pStyle w:val="ListParagraph"/>
        <w:numPr>
          <w:ilvl w:val="0"/>
          <w:numId w:val="1"/>
        </w:numPr>
      </w:pPr>
      <w:r>
        <w:t>Presents a philosophy of diversity</w:t>
      </w:r>
      <w:r w:rsidR="00992674">
        <w:t>, equity and inclusion</w:t>
      </w:r>
      <w:r>
        <w:t xml:space="preserve"> that is </w:t>
      </w:r>
      <w:r w:rsidR="00CC57D4">
        <w:t>evidenced through related</w:t>
      </w:r>
      <w:r>
        <w:t xml:space="preserve"> activities and achievements</w:t>
      </w:r>
      <w:r w:rsidR="00CC57D4">
        <w:t xml:space="preserve">. This is </w:t>
      </w:r>
      <w:r>
        <w:t>similar to a teaching philosophy</w:t>
      </w:r>
      <w:r w:rsidR="00CC57D4">
        <w:t xml:space="preserve"> in that it </w:t>
      </w:r>
      <w:r>
        <w:t xml:space="preserve">spells out, when necessary, specific targeted areas of </w:t>
      </w:r>
      <w:r w:rsidR="00CC57D4">
        <w:t>focus within DEI-related activities.  (</w:t>
      </w:r>
      <w:r w:rsidR="00992674">
        <w:t xml:space="preserve">A separate philosophy </w:t>
      </w:r>
      <w:r w:rsidR="00CC57D4">
        <w:t xml:space="preserve">of diversity, equity and inclusion </w:t>
      </w:r>
      <w:r w:rsidR="00992674">
        <w:t xml:space="preserve">statement may be presented, with a </w:t>
      </w:r>
      <w:r w:rsidR="0000438E">
        <w:t>more condensed</w:t>
      </w:r>
      <w:r w:rsidR="00992674">
        <w:t xml:space="preserve"> version included in the candidate statement itself.</w:t>
      </w:r>
      <w:r w:rsidR="00CC57D4">
        <w:t>)</w:t>
      </w:r>
    </w:p>
    <w:p w14:paraId="73897067" w14:textId="2B4F7289" w:rsidR="004230C7" w:rsidRDefault="004230C7" w:rsidP="00992674">
      <w:pPr>
        <w:pStyle w:val="ListParagraph"/>
        <w:numPr>
          <w:ilvl w:val="0"/>
          <w:numId w:val="1"/>
        </w:numPr>
      </w:pPr>
      <w:r>
        <w:t>Articulates how the candidate’s activities and achievements are interrelated</w:t>
      </w:r>
      <w:r w:rsidR="00992674">
        <w:t>; s</w:t>
      </w:r>
      <w:r>
        <w:t>hows that the candidate’s work is intentional and coherent.</w:t>
      </w:r>
    </w:p>
    <w:p w14:paraId="31C0147C" w14:textId="77777777" w:rsidR="00992674" w:rsidRDefault="00992674" w:rsidP="00992674">
      <w:pPr>
        <w:pStyle w:val="ListParagraph"/>
        <w:numPr>
          <w:ilvl w:val="0"/>
          <w:numId w:val="1"/>
        </w:numPr>
      </w:pPr>
      <w:r>
        <w:t xml:space="preserve">Ties work to the unit, campus or university mission.  </w:t>
      </w:r>
    </w:p>
    <w:p w14:paraId="4405E7A4" w14:textId="34A57697" w:rsidR="004230C7" w:rsidRDefault="00992674" w:rsidP="004230C7">
      <w:pPr>
        <w:pStyle w:val="ListParagraph"/>
        <w:numPr>
          <w:ilvl w:val="0"/>
          <w:numId w:val="1"/>
        </w:numPr>
      </w:pPr>
      <w:r>
        <w:t>Highlights key accomplishments in</w:t>
      </w:r>
      <w:r w:rsidR="00DB20A9">
        <w:t xml:space="preserve"> </w:t>
      </w:r>
      <w:r w:rsidR="00DB20A9" w:rsidRPr="00DB20A9">
        <w:rPr>
          <w:color w:val="70AD47" w:themeColor="accent6"/>
        </w:rPr>
        <w:t>both</w:t>
      </w:r>
      <w:r w:rsidR="004230C7">
        <w:t>:</w:t>
      </w:r>
    </w:p>
    <w:p w14:paraId="10DE33B4" w14:textId="004A99A3" w:rsidR="004230C7" w:rsidRDefault="004230C7" w:rsidP="002D1428">
      <w:pPr>
        <w:pStyle w:val="ListParagraph"/>
        <w:numPr>
          <w:ilvl w:val="1"/>
          <w:numId w:val="27"/>
        </w:numPr>
      </w:pPr>
      <w:r>
        <w:t>Contributions to scholarly discourse (peer-reviewed dissemination)</w:t>
      </w:r>
    </w:p>
    <w:p w14:paraId="2700177E" w14:textId="18EDFB0A" w:rsidR="004230C7" w:rsidRDefault="004230C7" w:rsidP="002D1428">
      <w:pPr>
        <w:pStyle w:val="ListParagraph"/>
        <w:numPr>
          <w:ilvl w:val="1"/>
          <w:numId w:val="27"/>
        </w:numPr>
      </w:pPr>
      <w:r>
        <w:t>Local impact</w:t>
      </w:r>
    </w:p>
    <w:p w14:paraId="7CC463FA" w14:textId="53E7DDC0" w:rsidR="004230C7" w:rsidRDefault="004230C7" w:rsidP="004230C7">
      <w:pPr>
        <w:pStyle w:val="ListParagraph"/>
        <w:numPr>
          <w:ilvl w:val="0"/>
          <w:numId w:val="1"/>
        </w:numPr>
      </w:pPr>
      <w:r>
        <w:t xml:space="preserve">Establishes both independence and initiative—articulates the candidate’s own role in multi-person endeavors and shows </w:t>
      </w:r>
      <w:r w:rsidR="00992674">
        <w:t>where the</w:t>
      </w:r>
      <w:r>
        <w:t xml:space="preserve"> candidate </w:t>
      </w:r>
      <w:r w:rsidR="00992674">
        <w:t xml:space="preserve">fits </w:t>
      </w:r>
      <w:r>
        <w:t xml:space="preserve">in initial conception, execution, </w:t>
      </w:r>
      <w:r w:rsidR="00992674">
        <w:t>and/</w:t>
      </w:r>
      <w:r>
        <w:t xml:space="preserve">or expansion.  </w:t>
      </w:r>
    </w:p>
    <w:p w14:paraId="1B64BFC2" w14:textId="77777777" w:rsidR="00992674" w:rsidRDefault="00992674" w:rsidP="004230C7"/>
    <w:p w14:paraId="7C521D37" w14:textId="53935E59" w:rsidR="004230C7" w:rsidRDefault="004230C7" w:rsidP="004230C7">
      <w:r>
        <w:t xml:space="preserve">Not every item on a candidate’s CV would be expected to be tied to the DEI /integrative case.  In the candidate’s statement, the candidate should identify key accomplishments and endeavors that highlight the candidate’s value to the university in respect to DEI work.  </w:t>
      </w:r>
    </w:p>
    <w:p w14:paraId="7C86B540" w14:textId="011617D9" w:rsidR="0023342B" w:rsidRDefault="0023342B" w:rsidP="004230C7"/>
    <w:p w14:paraId="479D9C99" w14:textId="57974EFA" w:rsidR="00BC6566" w:rsidRDefault="00BC6566" w:rsidP="004230C7">
      <w:r>
        <w:rPr>
          <w:b/>
          <w:bCs/>
        </w:rPr>
        <w:t xml:space="preserve">School </w:t>
      </w:r>
      <w:r w:rsidR="00CC57D4">
        <w:rPr>
          <w:b/>
          <w:bCs/>
        </w:rPr>
        <w:t xml:space="preserve">Criteria </w:t>
      </w:r>
      <w:r>
        <w:t xml:space="preserve">are expected to provide guidance on </w:t>
      </w:r>
      <w:r w:rsidR="00557DC7">
        <w:t>how excellence can be determined within the context of each discipline and area.</w:t>
      </w:r>
    </w:p>
    <w:p w14:paraId="338275CC" w14:textId="77777777" w:rsidR="00557DC7" w:rsidRPr="00BC6566" w:rsidRDefault="00557DC7" w:rsidP="004230C7"/>
    <w:p w14:paraId="7F13A8A7" w14:textId="4AC34896" w:rsidR="00CC57D4" w:rsidRDefault="0023342B" w:rsidP="004230C7">
      <w:r w:rsidRPr="002D1428">
        <w:rPr>
          <w:b/>
        </w:rPr>
        <w:t>Dossier evidence:</w:t>
      </w:r>
      <w:r>
        <w:t xml:space="preserve">  </w:t>
      </w:r>
      <w:r>
        <w:rPr>
          <w:i/>
          <w:iCs/>
        </w:rPr>
        <w:t>Material in the dossier’s main sections exists to provide details, context, and confirmation of assertions in the candidate’s statement</w:t>
      </w:r>
      <w:r w:rsidR="00992674">
        <w:rPr>
          <w:i/>
          <w:iCs/>
        </w:rPr>
        <w:t xml:space="preserve">. </w:t>
      </w:r>
    </w:p>
    <w:p w14:paraId="46A531BF" w14:textId="77777777" w:rsidR="00B66B58" w:rsidRDefault="00B66B58" w:rsidP="004230C7">
      <w:pPr>
        <w:rPr>
          <w:color w:val="70AD47" w:themeColor="accent6"/>
        </w:rPr>
      </w:pPr>
    </w:p>
    <w:p w14:paraId="40C47224" w14:textId="34B2B3B7" w:rsidR="00DB20A9" w:rsidRPr="00DB20A9" w:rsidRDefault="00DB20A9" w:rsidP="004230C7">
      <w:pPr>
        <w:rPr>
          <w:color w:val="70AD47" w:themeColor="accent6"/>
        </w:rPr>
      </w:pPr>
      <w:r w:rsidRPr="00DB20A9">
        <w:rPr>
          <w:color w:val="70AD47" w:themeColor="accent6"/>
        </w:rPr>
        <w:t>The dossier provides substantiation of the statements in the candidate statement, including the following:</w:t>
      </w:r>
    </w:p>
    <w:p w14:paraId="5F4801FA" w14:textId="35D31D31" w:rsidR="0023342B" w:rsidRDefault="00992674" w:rsidP="004230C7">
      <w:r>
        <w:rPr>
          <w:i/>
          <w:iCs/>
        </w:rPr>
        <w:t xml:space="preserve"> </w:t>
      </w:r>
    </w:p>
    <w:p w14:paraId="59D61BA1" w14:textId="7589B364" w:rsidR="0023342B" w:rsidRDefault="0023342B" w:rsidP="0023342B">
      <w:pPr>
        <w:pStyle w:val="ListParagraph"/>
        <w:numPr>
          <w:ilvl w:val="0"/>
          <w:numId w:val="2"/>
        </w:numPr>
      </w:pPr>
      <w:r>
        <w:t>Description of teaching, research, and service (including administrative) load throughout the time in rank.</w:t>
      </w:r>
    </w:p>
    <w:p w14:paraId="3EB3EDF4" w14:textId="77777777" w:rsidR="00CC57D4" w:rsidRDefault="00CC57D4" w:rsidP="002D1428">
      <w:pPr>
        <w:pStyle w:val="ListParagraph"/>
      </w:pPr>
    </w:p>
    <w:p w14:paraId="23410793" w14:textId="22B1FBEB" w:rsidR="0023342B" w:rsidRDefault="0023342B" w:rsidP="0023342B">
      <w:pPr>
        <w:pStyle w:val="ListParagraph"/>
        <w:numPr>
          <w:ilvl w:val="0"/>
          <w:numId w:val="2"/>
        </w:numPr>
      </w:pPr>
      <w:r>
        <w:t>Discussion of teaching</w:t>
      </w:r>
      <w:r w:rsidR="00E3693D">
        <w:t xml:space="preserve"> - R</w:t>
      </w:r>
      <w:r>
        <w:t>eflection on the following sources of evidence to demonstrate continual growth</w:t>
      </w:r>
      <w:r w:rsidR="00CC57D4">
        <w:t xml:space="preserve">, assuming that mentoring is also a form of teaching: </w:t>
      </w:r>
      <w:r>
        <w:t xml:space="preserve"> </w:t>
      </w:r>
    </w:p>
    <w:p w14:paraId="5BB2631E" w14:textId="34F81467" w:rsidR="0023342B" w:rsidRDefault="0023342B" w:rsidP="002D1428">
      <w:pPr>
        <w:pStyle w:val="ListParagraph"/>
        <w:numPr>
          <w:ilvl w:val="1"/>
          <w:numId w:val="15"/>
        </w:numPr>
      </w:pPr>
      <w:r>
        <w:t>Peer evaluations</w:t>
      </w:r>
    </w:p>
    <w:p w14:paraId="2C338577" w14:textId="2F4DF4B9" w:rsidR="0023342B" w:rsidRDefault="0023342B" w:rsidP="002D1428">
      <w:pPr>
        <w:pStyle w:val="ListParagraph"/>
        <w:numPr>
          <w:ilvl w:val="1"/>
          <w:numId w:val="15"/>
        </w:numPr>
      </w:pPr>
      <w:r>
        <w:lastRenderedPageBreak/>
        <w:t xml:space="preserve">Student </w:t>
      </w:r>
      <w:proofErr w:type="gramStart"/>
      <w:r>
        <w:t>evaluations;</w:t>
      </w:r>
      <w:proofErr w:type="gramEnd"/>
      <w:r>
        <w:t xml:space="preserve"> for mentoring or other non-course teaching, the chair</w:t>
      </w:r>
      <w:r w:rsidR="00CC57D4">
        <w:t xml:space="preserve"> or program </w:t>
      </w:r>
      <w:r>
        <w:t>director should arrange for anonymous feedback</w:t>
      </w:r>
    </w:p>
    <w:p w14:paraId="06F651A1" w14:textId="3910FA66" w:rsidR="0023342B" w:rsidRDefault="00CC57D4" w:rsidP="002D1428">
      <w:pPr>
        <w:pStyle w:val="ListParagraph"/>
        <w:numPr>
          <w:ilvl w:val="1"/>
          <w:numId w:val="15"/>
        </w:numPr>
      </w:pPr>
      <w:r>
        <w:t>Evidence of s</w:t>
      </w:r>
      <w:r w:rsidR="0023342B">
        <w:t xml:space="preserve">tudent learning </w:t>
      </w:r>
    </w:p>
    <w:p w14:paraId="4CFA37A1" w14:textId="222151C7" w:rsidR="0023342B" w:rsidRDefault="0023342B" w:rsidP="002D1428">
      <w:pPr>
        <w:pStyle w:val="ListParagraph"/>
        <w:numPr>
          <w:ilvl w:val="1"/>
          <w:numId w:val="15"/>
        </w:numPr>
      </w:pPr>
      <w:r>
        <w:t>Professional development activities</w:t>
      </w:r>
      <w:r w:rsidR="00CC57D4">
        <w:t xml:space="preserve"> related to teaching</w:t>
      </w:r>
    </w:p>
    <w:p w14:paraId="6A0B0152" w14:textId="77777777" w:rsidR="00CC57D4" w:rsidRDefault="00CC57D4" w:rsidP="002D1428">
      <w:pPr>
        <w:pStyle w:val="ListParagraph"/>
        <w:ind w:left="1440"/>
      </w:pPr>
    </w:p>
    <w:p w14:paraId="107C1E5B" w14:textId="5B62E981" w:rsidR="0023342B" w:rsidRDefault="0023342B" w:rsidP="0023342B">
      <w:pPr>
        <w:pStyle w:val="ListParagraph"/>
        <w:numPr>
          <w:ilvl w:val="0"/>
          <w:numId w:val="2"/>
        </w:numPr>
      </w:pPr>
      <w:r>
        <w:t>Scholarly communication</w:t>
      </w:r>
      <w:r w:rsidR="00E3693D">
        <w:t xml:space="preserve"> - C</w:t>
      </w:r>
      <w:r>
        <w:t xml:space="preserve">ontributions to the national discourse in the form of peer-reviewed dissemination.  </w:t>
      </w:r>
    </w:p>
    <w:p w14:paraId="154E8901" w14:textId="71744853" w:rsidR="0023342B" w:rsidRDefault="0023342B" w:rsidP="002D1428">
      <w:pPr>
        <w:pStyle w:val="ListParagraph"/>
        <w:numPr>
          <w:ilvl w:val="1"/>
          <w:numId w:val="16"/>
        </w:numPr>
      </w:pPr>
      <w:r>
        <w:t xml:space="preserve">Discussion of 3-5 key publications, presentations, creative works, etc.  </w:t>
      </w:r>
    </w:p>
    <w:p w14:paraId="5193CC8A" w14:textId="0EB4D2B6" w:rsidR="00CC57D4" w:rsidRDefault="0023342B" w:rsidP="002D1428">
      <w:pPr>
        <w:pStyle w:val="ListParagraph"/>
        <w:numPr>
          <w:ilvl w:val="1"/>
          <w:numId w:val="16"/>
        </w:numPr>
      </w:pPr>
      <w:r>
        <w:t>Attestation of individual role in multi-author works (</w:t>
      </w:r>
      <w:r w:rsidR="00E3693D">
        <w:t xml:space="preserve">with </w:t>
      </w:r>
      <w:r>
        <w:t>confirmation from co-PIs, co-authors, etc.</w:t>
      </w:r>
      <w:r w:rsidR="00E3693D">
        <w:t>)</w:t>
      </w:r>
    </w:p>
    <w:p w14:paraId="15078F24" w14:textId="7CA4DA84" w:rsidR="0023342B" w:rsidRDefault="0023342B" w:rsidP="002D1428">
      <w:pPr>
        <w:pStyle w:val="ListParagraph"/>
        <w:ind w:left="1440"/>
      </w:pPr>
    </w:p>
    <w:p w14:paraId="1CECC12E" w14:textId="5B60064B" w:rsidR="0023342B" w:rsidRDefault="0023342B" w:rsidP="0023342B">
      <w:pPr>
        <w:pStyle w:val="ListParagraph"/>
        <w:numPr>
          <w:ilvl w:val="0"/>
          <w:numId w:val="2"/>
        </w:numPr>
      </w:pPr>
      <w:r>
        <w:t>Evidence supporting local impact (in department, school, campus, university</w:t>
      </w:r>
      <w:r w:rsidR="00E3693D">
        <w:t>, region or community</w:t>
      </w:r>
      <w:r>
        <w:t>)</w:t>
      </w:r>
    </w:p>
    <w:p w14:paraId="3600403D" w14:textId="77777777" w:rsidR="0023342B" w:rsidRDefault="0023342B" w:rsidP="002D1428">
      <w:pPr>
        <w:pStyle w:val="ListParagraph"/>
        <w:numPr>
          <w:ilvl w:val="1"/>
          <w:numId w:val="17"/>
        </w:numPr>
      </w:pPr>
      <w:r>
        <w:t>Description of relevant unit specific initiatives, strategic goals, or mission statements.</w:t>
      </w:r>
    </w:p>
    <w:p w14:paraId="1FDDC793" w14:textId="150CC9B5" w:rsidR="0023342B" w:rsidRDefault="0023342B" w:rsidP="002D1428">
      <w:pPr>
        <w:pStyle w:val="ListParagraph"/>
        <w:numPr>
          <w:ilvl w:val="1"/>
          <w:numId w:val="17"/>
        </w:numPr>
      </w:pPr>
      <w:r>
        <w:t xml:space="preserve">Summary of available contextual quantitative metrics </w:t>
      </w:r>
    </w:p>
    <w:p w14:paraId="0A03C60F" w14:textId="3B49DC25" w:rsidR="0023342B" w:rsidRDefault="0023342B" w:rsidP="002D1428">
      <w:pPr>
        <w:pStyle w:val="ListParagraph"/>
        <w:numPr>
          <w:ilvl w:val="1"/>
          <w:numId w:val="17"/>
        </w:numPr>
      </w:pPr>
      <w:r>
        <w:t xml:space="preserve">Evaluation of quality and impact, </w:t>
      </w:r>
      <w:proofErr w:type="gramStart"/>
      <w:r>
        <w:t>e.g.</w:t>
      </w:r>
      <w:proofErr w:type="gramEnd"/>
      <w:r>
        <w:t xml:space="preserve"> input from collaborators, recipients; program/outcomes evaluation.</w:t>
      </w:r>
    </w:p>
    <w:p w14:paraId="1B8F454B" w14:textId="77777777" w:rsidR="00CC57D4" w:rsidRDefault="00CC57D4" w:rsidP="002D1428">
      <w:pPr>
        <w:pStyle w:val="ListParagraph"/>
        <w:ind w:left="1440"/>
      </w:pPr>
    </w:p>
    <w:p w14:paraId="2D44BBAD" w14:textId="2423E7B8" w:rsidR="0023342B" w:rsidRDefault="0023342B" w:rsidP="0023342B">
      <w:r>
        <w:t xml:space="preserve">Overall, readers should be able to see evidence of teaching, scholarship/creative activity, and service.  </w:t>
      </w:r>
    </w:p>
    <w:p w14:paraId="12609268" w14:textId="77777777" w:rsidR="00DF158B" w:rsidRDefault="00DF158B" w:rsidP="00785669">
      <w:pPr>
        <w:rPr>
          <w:b/>
        </w:rPr>
      </w:pPr>
    </w:p>
    <w:p w14:paraId="10E6A4BF" w14:textId="24496071" w:rsidR="00992674" w:rsidRDefault="00CC57D4" w:rsidP="00785669">
      <w:r w:rsidRPr="002D1428">
        <w:rPr>
          <w:b/>
        </w:rPr>
        <w:t>Curriculum Vita(e)</w:t>
      </w:r>
      <w:r>
        <w:rPr>
          <w:b/>
        </w:rPr>
        <w:t>:</w:t>
      </w:r>
      <w:r>
        <w:t xml:space="preserve">  </w:t>
      </w:r>
      <w:r w:rsidR="00785669">
        <w:t>The integrative CV has the following format</w:t>
      </w:r>
      <w:r w:rsidR="00B56A75">
        <w:t xml:space="preserve">.  </w:t>
      </w:r>
    </w:p>
    <w:p w14:paraId="4A1D0A53" w14:textId="77777777" w:rsidR="00E3693D" w:rsidRDefault="00E3693D" w:rsidP="00785669"/>
    <w:p w14:paraId="609FAC0A" w14:textId="2D710F1E" w:rsidR="00DB20A9" w:rsidRDefault="00DB20A9" w:rsidP="00DB20A9">
      <w:pPr>
        <w:pStyle w:val="ListParagraph"/>
        <w:numPr>
          <w:ilvl w:val="0"/>
          <w:numId w:val="19"/>
        </w:numPr>
      </w:pPr>
      <w:r>
        <w:t>Administrative roles are listed</w:t>
      </w:r>
    </w:p>
    <w:p w14:paraId="75C2DE37" w14:textId="256A3B56" w:rsidR="00E3693D" w:rsidRDefault="00785669" w:rsidP="002D1428">
      <w:pPr>
        <w:pStyle w:val="ListParagraph"/>
        <w:numPr>
          <w:ilvl w:val="0"/>
          <w:numId w:val="19"/>
        </w:numPr>
      </w:pPr>
      <w:r>
        <w:t>All grants</w:t>
      </w:r>
      <w:r w:rsidR="00E3693D">
        <w:t xml:space="preserve"> and </w:t>
      </w:r>
      <w:r>
        <w:t>fellowships are combined</w:t>
      </w:r>
      <w:r w:rsidR="00E3693D">
        <w:t xml:space="preserve"> in one section</w:t>
      </w:r>
      <w:r>
        <w:t xml:space="preserve"> </w:t>
      </w:r>
    </w:p>
    <w:p w14:paraId="74B75615" w14:textId="77731A3F" w:rsidR="00E3693D" w:rsidRDefault="00E3693D" w:rsidP="002D1428">
      <w:pPr>
        <w:pStyle w:val="ListParagraph"/>
        <w:numPr>
          <w:ilvl w:val="0"/>
          <w:numId w:val="19"/>
        </w:numPr>
      </w:pPr>
      <w:r>
        <w:t>A</w:t>
      </w:r>
      <w:r w:rsidR="00785669">
        <w:t>ll awards are combined</w:t>
      </w:r>
      <w:r>
        <w:t xml:space="preserve"> in one section</w:t>
      </w:r>
    </w:p>
    <w:p w14:paraId="75157665" w14:textId="6639EFC0" w:rsidR="00785669" w:rsidRDefault="00E3693D" w:rsidP="002D1428">
      <w:pPr>
        <w:pStyle w:val="ListParagraph"/>
        <w:numPr>
          <w:ilvl w:val="0"/>
          <w:numId w:val="19"/>
        </w:numPr>
      </w:pPr>
      <w:r>
        <w:t>A</w:t>
      </w:r>
      <w:r w:rsidR="00785669">
        <w:t>ll publications are combined.</w:t>
      </w:r>
    </w:p>
    <w:p w14:paraId="7B541F3D" w14:textId="31880BA3" w:rsidR="00785669" w:rsidRDefault="00785669" w:rsidP="002D1428">
      <w:pPr>
        <w:pStyle w:val="ListParagraph"/>
        <w:numPr>
          <w:ilvl w:val="0"/>
          <w:numId w:val="19"/>
        </w:numPr>
      </w:pPr>
      <w:r>
        <w:t xml:space="preserve">Candidates </w:t>
      </w:r>
      <w:r w:rsidRPr="002D1428">
        <w:t xml:space="preserve">use </w:t>
      </w:r>
      <w:r w:rsidR="00E3693D" w:rsidRPr="002D1428">
        <w:t xml:space="preserve">a hashtag </w:t>
      </w:r>
      <w:r w:rsidRPr="002D1428">
        <w:t xml:space="preserve">symbol </w:t>
      </w:r>
      <w:r w:rsidR="00AE3992">
        <w:t>(</w:t>
      </w:r>
      <w:r w:rsidR="00992674" w:rsidRPr="002D1428">
        <w:rPr>
          <w:b/>
        </w:rPr>
        <w:t>#</w:t>
      </w:r>
      <w:r w:rsidR="00AE3992">
        <w:t xml:space="preserve">) </w:t>
      </w:r>
      <w:r>
        <w:t>to indicate diversity-centered items.</w:t>
      </w:r>
    </w:p>
    <w:p w14:paraId="536BF4E8" w14:textId="77777777" w:rsidR="00785669" w:rsidRDefault="00785669" w:rsidP="00785669"/>
    <w:p w14:paraId="5E1C9955" w14:textId="77777777" w:rsidR="001C4D24" w:rsidRPr="001B39E5" w:rsidRDefault="001C4D24" w:rsidP="00361744">
      <w:pPr>
        <w:pStyle w:val="BodyText"/>
        <w:spacing w:line="240" w:lineRule="auto"/>
        <w:rPr>
          <w:sz w:val="24"/>
          <w:szCs w:val="24"/>
        </w:rPr>
      </w:pPr>
      <w:r w:rsidRPr="001B39E5">
        <w:rPr>
          <w:color w:val="44546A" w:themeColor="text2"/>
          <w:sz w:val="24"/>
          <w:szCs w:val="24"/>
        </w:rPr>
        <w:t xml:space="preserve">Except in the </w:t>
      </w:r>
      <w:r>
        <w:rPr>
          <w:color w:val="44546A" w:themeColor="text2"/>
          <w:sz w:val="24"/>
          <w:szCs w:val="24"/>
        </w:rPr>
        <w:t>Balanced-</w:t>
      </w:r>
      <w:r w:rsidRPr="001B39E5">
        <w:rPr>
          <w:color w:val="44546A" w:themeColor="text2"/>
          <w:sz w:val="24"/>
          <w:szCs w:val="24"/>
        </w:rPr>
        <w:t xml:space="preserve">Integrative Case type, </w:t>
      </w:r>
      <w:r w:rsidRPr="001B39E5">
        <w:rPr>
          <w:sz w:val="24"/>
          <w:szCs w:val="24"/>
        </w:rPr>
        <w:t>candidates</w:t>
      </w:r>
      <w:r w:rsidRPr="001B39E5">
        <w:rPr>
          <w:spacing w:val="-5"/>
          <w:sz w:val="24"/>
          <w:szCs w:val="24"/>
        </w:rPr>
        <w:t xml:space="preserve"> </w:t>
      </w:r>
      <w:r w:rsidRPr="001B39E5">
        <w:rPr>
          <w:sz w:val="24"/>
          <w:szCs w:val="24"/>
        </w:rPr>
        <w:t>must</w:t>
      </w:r>
      <w:r w:rsidRPr="001B39E5">
        <w:rPr>
          <w:spacing w:val="-6"/>
          <w:sz w:val="24"/>
          <w:szCs w:val="24"/>
        </w:rPr>
        <w:t xml:space="preserve"> </w:t>
      </w:r>
      <w:r w:rsidRPr="001B39E5">
        <w:rPr>
          <w:sz w:val="24"/>
          <w:szCs w:val="24"/>
        </w:rPr>
        <w:t>determine</w:t>
      </w:r>
      <w:r w:rsidRPr="001B39E5">
        <w:rPr>
          <w:spacing w:val="-6"/>
          <w:sz w:val="24"/>
          <w:szCs w:val="24"/>
        </w:rPr>
        <w:t xml:space="preserve"> </w:t>
      </w:r>
      <w:r w:rsidRPr="001B39E5">
        <w:rPr>
          <w:sz w:val="24"/>
          <w:szCs w:val="24"/>
        </w:rPr>
        <w:t>and</w:t>
      </w:r>
      <w:r w:rsidRPr="001B39E5">
        <w:rPr>
          <w:spacing w:val="-4"/>
          <w:sz w:val="24"/>
          <w:szCs w:val="24"/>
        </w:rPr>
        <w:t xml:space="preserve"> </w:t>
      </w:r>
      <w:r w:rsidRPr="001B39E5">
        <w:rPr>
          <w:sz w:val="24"/>
          <w:szCs w:val="24"/>
        </w:rPr>
        <w:t>list</w:t>
      </w:r>
      <w:r w:rsidRPr="001B39E5">
        <w:rPr>
          <w:spacing w:val="-4"/>
          <w:sz w:val="24"/>
          <w:szCs w:val="24"/>
        </w:rPr>
        <w:t xml:space="preserve"> </w:t>
      </w:r>
      <w:r w:rsidRPr="001B39E5">
        <w:rPr>
          <w:color w:val="000000" w:themeColor="text1"/>
          <w:spacing w:val="-4"/>
          <w:sz w:val="24"/>
          <w:szCs w:val="24"/>
        </w:rPr>
        <w:t xml:space="preserve">each grant, presentation and </w:t>
      </w:r>
      <w:r w:rsidRPr="001B39E5">
        <w:rPr>
          <w:color w:val="000000" w:themeColor="text1"/>
          <w:sz w:val="24"/>
          <w:szCs w:val="24"/>
        </w:rPr>
        <w:t>publication</w:t>
      </w:r>
      <w:r w:rsidRPr="001B39E5">
        <w:rPr>
          <w:color w:val="000000" w:themeColor="text1"/>
          <w:spacing w:val="-5"/>
          <w:sz w:val="24"/>
          <w:szCs w:val="24"/>
        </w:rPr>
        <w:t xml:space="preserve"> </w:t>
      </w:r>
      <w:r w:rsidRPr="001B39E5">
        <w:rPr>
          <w:color w:val="000000" w:themeColor="text1"/>
          <w:sz w:val="24"/>
          <w:szCs w:val="24"/>
        </w:rPr>
        <w:t>under</w:t>
      </w:r>
      <w:r w:rsidRPr="001B39E5">
        <w:rPr>
          <w:color w:val="000000" w:themeColor="text1"/>
          <w:spacing w:val="-3"/>
          <w:sz w:val="24"/>
          <w:szCs w:val="24"/>
        </w:rPr>
        <w:t xml:space="preserve"> </w:t>
      </w:r>
      <w:r w:rsidRPr="001B39E5">
        <w:rPr>
          <w:color w:val="000000" w:themeColor="text1"/>
          <w:sz w:val="24"/>
          <w:szCs w:val="24"/>
        </w:rPr>
        <w:t>one a</w:t>
      </w:r>
      <w:r w:rsidRPr="001B39E5">
        <w:rPr>
          <w:sz w:val="24"/>
          <w:szCs w:val="24"/>
        </w:rPr>
        <w:t>ppropriate</w:t>
      </w:r>
      <w:r w:rsidRPr="001B39E5">
        <w:rPr>
          <w:spacing w:val="-6"/>
          <w:sz w:val="24"/>
          <w:szCs w:val="24"/>
        </w:rPr>
        <w:t xml:space="preserve"> </w:t>
      </w:r>
      <w:r w:rsidRPr="001B39E5">
        <w:rPr>
          <w:sz w:val="24"/>
          <w:szCs w:val="24"/>
        </w:rPr>
        <w:t>category:  teaching,</w:t>
      </w:r>
      <w:r w:rsidRPr="001B39E5">
        <w:rPr>
          <w:spacing w:val="-6"/>
          <w:sz w:val="24"/>
          <w:szCs w:val="24"/>
        </w:rPr>
        <w:t xml:space="preserve"> </w:t>
      </w:r>
      <w:r w:rsidRPr="001B39E5">
        <w:rPr>
          <w:sz w:val="24"/>
          <w:szCs w:val="24"/>
        </w:rPr>
        <w:t>research, service as appropriate for their</w:t>
      </w:r>
      <w:r w:rsidRPr="001B39E5">
        <w:rPr>
          <w:spacing w:val="-1"/>
          <w:sz w:val="24"/>
          <w:szCs w:val="24"/>
        </w:rPr>
        <w:t xml:space="preserve"> </w:t>
      </w:r>
      <w:r w:rsidRPr="001B39E5">
        <w:rPr>
          <w:sz w:val="24"/>
          <w:szCs w:val="24"/>
        </w:rPr>
        <w:t>appointment.</w:t>
      </w:r>
    </w:p>
    <w:p w14:paraId="4F62A8F3" w14:textId="77777777" w:rsidR="001C4D24" w:rsidRDefault="001C4D24" w:rsidP="00785669"/>
    <w:p w14:paraId="43C8BB31" w14:textId="179877C4" w:rsidR="00E3693D" w:rsidRDefault="00437F0A" w:rsidP="00785669">
      <w:r>
        <w:t xml:space="preserve">In the Balanced-Integrative Case type, items are organized in the following categories:  </w:t>
      </w:r>
    </w:p>
    <w:p w14:paraId="07AAF1BF" w14:textId="77777777" w:rsidR="00E3693D" w:rsidRDefault="00E3693D" w:rsidP="00785669"/>
    <w:p w14:paraId="6F9F37A1" w14:textId="50B17B01" w:rsidR="00785669" w:rsidRPr="00437F0A" w:rsidRDefault="00785669" w:rsidP="00361744">
      <w:pPr>
        <w:pStyle w:val="ListParagraph"/>
        <w:numPr>
          <w:ilvl w:val="0"/>
          <w:numId w:val="28"/>
        </w:numPr>
        <w:rPr>
          <w:strike/>
        </w:rPr>
      </w:pPr>
      <w:r>
        <w:t>Education</w:t>
      </w:r>
    </w:p>
    <w:p w14:paraId="4A26030A" w14:textId="11D69E7E" w:rsidR="00785669" w:rsidRDefault="00785669" w:rsidP="00361744">
      <w:pPr>
        <w:pStyle w:val="ListParagraph"/>
        <w:numPr>
          <w:ilvl w:val="0"/>
          <w:numId w:val="28"/>
        </w:numPr>
      </w:pPr>
      <w:r>
        <w:t>Appointments [IU, autoloaded]</w:t>
      </w:r>
    </w:p>
    <w:p w14:paraId="718AF1CE" w14:textId="39341F9A" w:rsidR="00785669" w:rsidRDefault="00785669" w:rsidP="00361744">
      <w:pPr>
        <w:pStyle w:val="ListParagraph"/>
        <w:numPr>
          <w:ilvl w:val="0"/>
          <w:numId w:val="28"/>
        </w:numPr>
      </w:pPr>
      <w:r>
        <w:t xml:space="preserve">Administrative roles [at IUPUI, if not already </w:t>
      </w:r>
      <w:proofErr w:type="gramStart"/>
      <w:r>
        <w:t>auto-loaded</w:t>
      </w:r>
      <w:proofErr w:type="gramEnd"/>
      <w:r>
        <w:t>]</w:t>
      </w:r>
    </w:p>
    <w:p w14:paraId="2F4F71AC" w14:textId="08826DD3" w:rsidR="00785669" w:rsidRDefault="00785669" w:rsidP="00361744">
      <w:pPr>
        <w:pStyle w:val="ListParagraph"/>
        <w:numPr>
          <w:ilvl w:val="0"/>
          <w:numId w:val="28"/>
        </w:numPr>
      </w:pPr>
      <w:r>
        <w:t xml:space="preserve">Past appointments </w:t>
      </w:r>
    </w:p>
    <w:p w14:paraId="15C8A190" w14:textId="77777777" w:rsidR="00785669" w:rsidRDefault="00785669" w:rsidP="00361744">
      <w:pPr>
        <w:pStyle w:val="ListParagraph"/>
        <w:numPr>
          <w:ilvl w:val="0"/>
          <w:numId w:val="28"/>
        </w:numPr>
      </w:pPr>
      <w:r>
        <w:t>Licensure, Certification, Specialty Board Status</w:t>
      </w:r>
    </w:p>
    <w:p w14:paraId="4CEACF21" w14:textId="5F4EFA72" w:rsidR="00785669" w:rsidRDefault="00785669" w:rsidP="00361744">
      <w:pPr>
        <w:pStyle w:val="ListParagraph"/>
        <w:numPr>
          <w:ilvl w:val="0"/>
          <w:numId w:val="28"/>
        </w:numPr>
      </w:pPr>
      <w:r>
        <w:t>Professional Organization Memberships</w:t>
      </w:r>
    </w:p>
    <w:p w14:paraId="781DFF88" w14:textId="3ABF8CD3" w:rsidR="00785669" w:rsidRDefault="00785669" w:rsidP="00437F0A">
      <w:pPr>
        <w:pStyle w:val="ListParagraph"/>
        <w:numPr>
          <w:ilvl w:val="0"/>
          <w:numId w:val="28"/>
        </w:numPr>
      </w:pPr>
      <w:r>
        <w:t>Professional Development</w:t>
      </w:r>
    </w:p>
    <w:p w14:paraId="09207267" w14:textId="77777777" w:rsidR="005C08F7" w:rsidRDefault="005C08F7" w:rsidP="005C08F7">
      <w:pPr>
        <w:pStyle w:val="ListParagraph"/>
        <w:numPr>
          <w:ilvl w:val="0"/>
          <w:numId w:val="28"/>
        </w:numPr>
      </w:pPr>
      <w:r>
        <w:lastRenderedPageBreak/>
        <w:t>[Librarian Performance]</w:t>
      </w:r>
    </w:p>
    <w:p w14:paraId="618A4A00" w14:textId="0E6A1736" w:rsidR="006813D7" w:rsidRDefault="006813D7" w:rsidP="00437F0A">
      <w:pPr>
        <w:pStyle w:val="ListParagraph"/>
        <w:numPr>
          <w:ilvl w:val="0"/>
          <w:numId w:val="28"/>
        </w:numPr>
      </w:pPr>
      <w:r>
        <w:t>Teaching Assignments [Auto-loaded]</w:t>
      </w:r>
    </w:p>
    <w:p w14:paraId="17093D53" w14:textId="0560BD7F" w:rsidR="00AA5D78" w:rsidRDefault="00AA5D78" w:rsidP="00437F0A">
      <w:pPr>
        <w:pStyle w:val="ListParagraph"/>
        <w:numPr>
          <w:ilvl w:val="0"/>
          <w:numId w:val="28"/>
        </w:numPr>
      </w:pPr>
      <w:r>
        <w:t>Mentoring</w:t>
      </w:r>
    </w:p>
    <w:p w14:paraId="6B525553" w14:textId="3B1FC20E" w:rsidR="00AA5D78" w:rsidRDefault="00AA5D78" w:rsidP="00437F0A">
      <w:pPr>
        <w:pStyle w:val="ListParagraph"/>
        <w:numPr>
          <w:ilvl w:val="0"/>
          <w:numId w:val="28"/>
        </w:numPr>
      </w:pPr>
      <w:r>
        <w:t>Other teaching [includes curriculum development]</w:t>
      </w:r>
    </w:p>
    <w:p w14:paraId="4C646030" w14:textId="0D700639" w:rsidR="00AA5D78" w:rsidRDefault="00AA5D78" w:rsidP="00361744">
      <w:pPr>
        <w:pStyle w:val="ListParagraph"/>
        <w:numPr>
          <w:ilvl w:val="0"/>
          <w:numId w:val="28"/>
        </w:numPr>
      </w:pPr>
      <w:r>
        <w:t>Grants [Auto-loaded if awarded to IU; added if not]</w:t>
      </w:r>
    </w:p>
    <w:p w14:paraId="38CE786B" w14:textId="2F51B5E3" w:rsidR="00785669" w:rsidRDefault="00785669" w:rsidP="00361744">
      <w:pPr>
        <w:pStyle w:val="ListParagraph"/>
        <w:numPr>
          <w:ilvl w:val="0"/>
          <w:numId w:val="28"/>
        </w:numPr>
      </w:pPr>
      <w:r>
        <w:t>Awards</w:t>
      </w:r>
    </w:p>
    <w:p w14:paraId="34B2D088" w14:textId="77777777" w:rsidR="00A500B6" w:rsidRDefault="00785669" w:rsidP="00437F0A">
      <w:pPr>
        <w:pStyle w:val="ListParagraph"/>
        <w:numPr>
          <w:ilvl w:val="0"/>
          <w:numId w:val="28"/>
        </w:numPr>
      </w:pPr>
      <w:r>
        <w:t>Service activities [roles]</w:t>
      </w:r>
    </w:p>
    <w:p w14:paraId="5061F02D" w14:textId="77777777" w:rsidR="00A500B6" w:rsidRDefault="00A500B6" w:rsidP="00437F0A">
      <w:pPr>
        <w:pStyle w:val="ListParagraph"/>
        <w:numPr>
          <w:ilvl w:val="0"/>
          <w:numId w:val="28"/>
        </w:numPr>
      </w:pPr>
      <w:r>
        <w:t xml:space="preserve">Presentations </w:t>
      </w:r>
    </w:p>
    <w:p w14:paraId="31A019F3" w14:textId="77777777" w:rsidR="00A500B6" w:rsidRDefault="00A500B6" w:rsidP="00A500B6">
      <w:pPr>
        <w:pStyle w:val="ListParagraph"/>
        <w:numPr>
          <w:ilvl w:val="1"/>
          <w:numId w:val="28"/>
        </w:numPr>
      </w:pPr>
      <w:r>
        <w:t>Refereed</w:t>
      </w:r>
    </w:p>
    <w:p w14:paraId="4FC0B40E" w14:textId="77777777" w:rsidR="00A500B6" w:rsidRDefault="00A500B6" w:rsidP="00A500B6">
      <w:pPr>
        <w:pStyle w:val="ListParagraph"/>
        <w:numPr>
          <w:ilvl w:val="1"/>
          <w:numId w:val="28"/>
        </w:numPr>
      </w:pPr>
      <w:r>
        <w:t>Invited</w:t>
      </w:r>
    </w:p>
    <w:p w14:paraId="5CD6FD55" w14:textId="259B2FCC" w:rsidR="00785669" w:rsidRDefault="00A500B6" w:rsidP="00361744">
      <w:pPr>
        <w:pStyle w:val="ListParagraph"/>
        <w:numPr>
          <w:ilvl w:val="1"/>
          <w:numId w:val="28"/>
        </w:numPr>
      </w:pPr>
      <w:r>
        <w:t>Other</w:t>
      </w:r>
    </w:p>
    <w:p w14:paraId="59FFC515" w14:textId="125BE4DF" w:rsidR="00785669" w:rsidRDefault="00785669" w:rsidP="00361744">
      <w:pPr>
        <w:pStyle w:val="ListParagraph"/>
        <w:numPr>
          <w:ilvl w:val="0"/>
          <w:numId w:val="28"/>
        </w:numPr>
      </w:pPr>
      <w:r>
        <w:t>Publications</w:t>
      </w:r>
      <w:r w:rsidR="003B65A6">
        <w:t xml:space="preserve"> </w:t>
      </w:r>
      <w:r w:rsidR="00ED1785">
        <w:rPr>
          <w:color w:val="44546A" w:themeColor="text2"/>
        </w:rPr>
        <w:t>[includes the Digital Measures categories of Artistic and Professional Performances and Exhibits; Publications/Scholarship of Discovery; Intellectual Property (copyright, patents)</w:t>
      </w:r>
      <w:r w:rsidR="00ED1785" w:rsidRPr="001B39E5">
        <w:rPr>
          <w:color w:val="44546A" w:themeColor="text2"/>
        </w:rPr>
        <w:t>]</w:t>
      </w:r>
      <w:r>
        <w:t xml:space="preserve"> [NOT divided by area]</w:t>
      </w:r>
    </w:p>
    <w:p w14:paraId="25CA956D" w14:textId="3866E109" w:rsidR="00785669" w:rsidRDefault="00785669" w:rsidP="006813D7">
      <w:pPr>
        <w:pStyle w:val="ListParagraph"/>
        <w:numPr>
          <w:ilvl w:val="1"/>
          <w:numId w:val="28"/>
        </w:numPr>
        <w:rPr>
          <w:i/>
          <w:iCs/>
        </w:rPr>
      </w:pPr>
      <w:r>
        <w:t>Refereed</w:t>
      </w:r>
      <w:r w:rsidR="00E3693D">
        <w:t xml:space="preserve"> - </w:t>
      </w:r>
      <w:r w:rsidRPr="00361744">
        <w:rPr>
          <w:i/>
          <w:iCs/>
        </w:rPr>
        <w:t>Chronological</w:t>
      </w:r>
      <w:r w:rsidR="00E3693D" w:rsidRPr="00361744">
        <w:rPr>
          <w:i/>
          <w:iCs/>
        </w:rPr>
        <w:t>ly ordered and by format (e.g., articles vs. books)</w:t>
      </w:r>
    </w:p>
    <w:p w14:paraId="5DD3EA56" w14:textId="5B473AB7" w:rsidR="00ED1785" w:rsidRPr="00361744" w:rsidRDefault="00ED1785" w:rsidP="00361744">
      <w:pPr>
        <w:pStyle w:val="ListParagraph"/>
        <w:numPr>
          <w:ilvl w:val="1"/>
          <w:numId w:val="28"/>
        </w:numPr>
        <w:rPr>
          <w:i/>
          <w:iCs/>
        </w:rPr>
      </w:pPr>
      <w:r>
        <w:t>Invited</w:t>
      </w:r>
    </w:p>
    <w:p w14:paraId="1860F18F" w14:textId="4B7C5F3B" w:rsidR="000354E3" w:rsidRPr="00361744" w:rsidRDefault="00ED1785" w:rsidP="00ED1785">
      <w:pPr>
        <w:pStyle w:val="ListParagraph"/>
        <w:numPr>
          <w:ilvl w:val="0"/>
          <w:numId w:val="28"/>
        </w:numPr>
      </w:pPr>
      <w:r>
        <w:t>Other</w:t>
      </w:r>
      <w:r w:rsidR="00785669">
        <w:t xml:space="preserve"> </w:t>
      </w:r>
      <w:r w:rsidR="00FC140B">
        <w:t xml:space="preserve">Projects </w:t>
      </w:r>
      <w:r w:rsidR="00B54EA7">
        <w:rPr>
          <w:color w:val="44546A" w:themeColor="text2"/>
        </w:rPr>
        <w:t>[includes the Digital Measures categories of Scholarship of Application/Engagement, Digital Scholarship]</w:t>
      </w:r>
    </w:p>
    <w:p w14:paraId="7F1AB0DD" w14:textId="77777777" w:rsidR="00BD53BC" w:rsidRDefault="00BD53BC" w:rsidP="00BD53BC">
      <w:pPr>
        <w:pStyle w:val="BodyText"/>
        <w:rPr>
          <w:i/>
          <w:iCs/>
          <w:color w:val="44546A" w:themeColor="text2"/>
          <w:sz w:val="24"/>
          <w:szCs w:val="24"/>
        </w:rPr>
      </w:pPr>
    </w:p>
    <w:p w14:paraId="2E41BF31" w14:textId="310DF271" w:rsidR="00BD53BC" w:rsidRPr="001B39E5" w:rsidRDefault="00BD53BC" w:rsidP="00361744">
      <w:pPr>
        <w:pStyle w:val="BodyText"/>
        <w:rPr>
          <w:i/>
          <w:iCs/>
          <w:color w:val="44546A" w:themeColor="text2"/>
          <w:sz w:val="24"/>
          <w:szCs w:val="24"/>
        </w:rPr>
      </w:pPr>
      <w:r w:rsidRPr="001B39E5">
        <w:rPr>
          <w:i/>
          <w:iCs/>
          <w:color w:val="44546A" w:themeColor="text2"/>
          <w:sz w:val="24"/>
          <w:szCs w:val="24"/>
        </w:rPr>
        <w:t xml:space="preserve">Order and sub-division </w:t>
      </w:r>
      <w:proofErr w:type="gramStart"/>
      <w:r w:rsidRPr="001B39E5">
        <w:rPr>
          <w:i/>
          <w:iCs/>
          <w:color w:val="44546A" w:themeColor="text2"/>
          <w:sz w:val="24"/>
          <w:szCs w:val="24"/>
        </w:rPr>
        <w:t>depends</w:t>
      </w:r>
      <w:proofErr w:type="gramEnd"/>
      <w:r w:rsidRPr="001B39E5">
        <w:rPr>
          <w:i/>
          <w:iCs/>
          <w:color w:val="44546A" w:themeColor="text2"/>
          <w:sz w:val="24"/>
          <w:szCs w:val="24"/>
        </w:rPr>
        <w:t xml:space="preserve"> on disciplinary conventions (chronological, type of venue, etc.)</w:t>
      </w:r>
    </w:p>
    <w:p w14:paraId="0E0A7D4C" w14:textId="77777777" w:rsidR="00FC140B" w:rsidRDefault="00FC140B" w:rsidP="00361744">
      <w:pPr>
        <w:pStyle w:val="ListParagraph"/>
      </w:pPr>
    </w:p>
    <w:p w14:paraId="49C9C70F" w14:textId="5AEE0EED" w:rsidR="00E3693D" w:rsidRPr="002D1428" w:rsidRDefault="0000438E" w:rsidP="00E3693D">
      <w:pPr>
        <w:pStyle w:val="ListParagraph"/>
        <w:numPr>
          <w:ilvl w:val="0"/>
          <w:numId w:val="12"/>
        </w:numPr>
        <w:ind w:left="630"/>
        <w:rPr>
          <w:b/>
          <w:sz w:val="28"/>
        </w:rPr>
      </w:pPr>
      <w:r>
        <w:rPr>
          <w:b/>
          <w:sz w:val="28"/>
        </w:rPr>
        <w:t>Future</w:t>
      </w:r>
      <w:r w:rsidR="00E3693D" w:rsidRPr="002D1428">
        <w:rPr>
          <w:b/>
          <w:sz w:val="28"/>
        </w:rPr>
        <w:t xml:space="preserve"> Considerations </w:t>
      </w:r>
    </w:p>
    <w:p w14:paraId="50CD69A8" w14:textId="629FF8A3" w:rsidR="00E3693D" w:rsidRDefault="00E3693D" w:rsidP="002D1428">
      <w:pPr>
        <w:rPr>
          <w:b/>
        </w:rPr>
      </w:pPr>
    </w:p>
    <w:p w14:paraId="6C3C9790" w14:textId="6096061A" w:rsidR="00785669" w:rsidRDefault="00E3693D" w:rsidP="002D1428">
      <w:r>
        <w:t xml:space="preserve">The following areas </w:t>
      </w:r>
      <w:r w:rsidR="0000438E">
        <w:t xml:space="preserve">reflect future considerations recommended by the Ad Hoc Committee charged with Reviewing IUPUI Campus P&amp;T Guidelines. Though they are not included within the proposed changes being presented to the IUPUI Faculty Council, they help to illustrate the deliberative process of the Ad Hoc Task Force. As importantly, they reflect areas that should continue to be discussed in order to further refine our campus standards to better support the evaluation of all promotion and tenure cases.  </w:t>
      </w:r>
    </w:p>
    <w:p w14:paraId="65E7D99B" w14:textId="0A93F0CB" w:rsidR="000354E3" w:rsidRDefault="000354E3" w:rsidP="00785669"/>
    <w:p w14:paraId="766439C3" w14:textId="767501BD" w:rsidR="000354E3" w:rsidRDefault="000354E3" w:rsidP="002D1428">
      <w:pPr>
        <w:pStyle w:val="ListParagraph"/>
        <w:numPr>
          <w:ilvl w:val="0"/>
          <w:numId w:val="23"/>
        </w:numPr>
      </w:pPr>
      <w:r w:rsidRPr="002D1428">
        <w:rPr>
          <w:b/>
          <w:bCs/>
        </w:rPr>
        <w:t xml:space="preserve">Dissemination </w:t>
      </w:r>
      <w:r w:rsidR="00E3693D">
        <w:rPr>
          <w:b/>
          <w:bCs/>
        </w:rPr>
        <w:t xml:space="preserve">- </w:t>
      </w:r>
      <w:r>
        <w:t>There is a need for a modern, flexible, and less-biased approach to assessment of dissemination venues.  Some of the current issues include (but are not limited to):</w:t>
      </w:r>
    </w:p>
    <w:p w14:paraId="03DF2CF4" w14:textId="77777777" w:rsidR="00E3693D" w:rsidRDefault="00E3693D" w:rsidP="002D1428">
      <w:pPr>
        <w:pStyle w:val="ListParagraph"/>
      </w:pPr>
    </w:p>
    <w:p w14:paraId="429F9D61" w14:textId="20EBECCD" w:rsidR="000354E3" w:rsidRDefault="000354E3" w:rsidP="002D1428">
      <w:pPr>
        <w:pStyle w:val="ListParagraph"/>
        <w:numPr>
          <w:ilvl w:val="1"/>
          <w:numId w:val="24"/>
        </w:numPr>
      </w:pPr>
      <w:r>
        <w:t xml:space="preserve">New methods and new items that are published, beyond the ‘journal’ and ‘the book.’  </w:t>
      </w:r>
    </w:p>
    <w:p w14:paraId="15E845D9" w14:textId="5EA4A870" w:rsidR="000354E3" w:rsidRDefault="000354E3" w:rsidP="002D1428">
      <w:pPr>
        <w:pStyle w:val="ListParagraph"/>
        <w:numPr>
          <w:ilvl w:val="1"/>
          <w:numId w:val="24"/>
        </w:numPr>
      </w:pPr>
      <w:r>
        <w:t xml:space="preserve">Relation of topic to venue.  Current tradition does recognize narrow scientific specialties and their associated journals, but sometimes has unwarranted skepticism for new or interdisciplinary areas.  </w:t>
      </w:r>
    </w:p>
    <w:p w14:paraId="6DDEBE9B" w14:textId="08886DC7" w:rsidR="000354E3" w:rsidRDefault="000354E3" w:rsidP="002D1428">
      <w:pPr>
        <w:pStyle w:val="ListParagraph"/>
        <w:numPr>
          <w:ilvl w:val="1"/>
          <w:numId w:val="24"/>
        </w:numPr>
      </w:pPr>
      <w:r>
        <w:t xml:space="preserve">Relation of work to appropriate audience.  “Impact” is not (solely) how other academics use the work; it can include how communities or the public or others </w:t>
      </w:r>
      <w:r>
        <w:lastRenderedPageBreak/>
        <w:t xml:space="preserve">use the work, and the work will vary according to the audience.  </w:t>
      </w:r>
      <w:r w:rsidR="006E47F6">
        <w:t xml:space="preserve">An adopted policy change, for example, is a powerful instance of demonstrated impact.  </w:t>
      </w:r>
    </w:p>
    <w:p w14:paraId="54E563BE" w14:textId="4AB33800" w:rsidR="000354E3" w:rsidRDefault="000354E3" w:rsidP="002D1428">
      <w:pPr>
        <w:pStyle w:val="ListParagraph"/>
        <w:numPr>
          <w:ilvl w:val="1"/>
          <w:numId w:val="24"/>
        </w:numPr>
      </w:pPr>
      <w:r>
        <w:t xml:space="preserve">Varieties of </w:t>
      </w:r>
      <w:r>
        <w:rPr>
          <w:i/>
          <w:iCs/>
        </w:rPr>
        <w:t xml:space="preserve">peer </w:t>
      </w:r>
      <w:r>
        <w:t>review.  Peer review is a core concept and at least some of this review must be conducted by members of the academy, but the perspectives of others are also relevant and appropriate</w:t>
      </w:r>
      <w:r w:rsidR="00B17E94">
        <w:rPr>
          <w:rStyle w:val="FootnoteReference"/>
        </w:rPr>
        <w:footnoteReference w:id="7"/>
      </w:r>
      <w:r>
        <w:t xml:space="preserve">.  </w:t>
      </w:r>
      <w:r>
        <w:rPr>
          <w:i/>
          <w:iCs/>
        </w:rPr>
        <w:t>Self-</w:t>
      </w:r>
      <w:r>
        <w:t xml:space="preserve">publishing is not the goal, but the definition of peer needs attention and appreciation.  </w:t>
      </w:r>
    </w:p>
    <w:p w14:paraId="05D4D58E" w14:textId="6B874004" w:rsidR="006E47F6" w:rsidRDefault="006E47F6" w:rsidP="002D1428">
      <w:pPr>
        <w:pStyle w:val="ListParagraph"/>
        <w:numPr>
          <w:ilvl w:val="1"/>
          <w:numId w:val="24"/>
        </w:numPr>
      </w:pPr>
      <w:r>
        <w:t xml:space="preserve">Review of ephemeral work (the traditional “retrievability” criterion).   </w:t>
      </w:r>
    </w:p>
    <w:p w14:paraId="3EAFC6C6" w14:textId="552ED313" w:rsidR="006E47F6" w:rsidRDefault="006E47F6" w:rsidP="002D1428">
      <w:pPr>
        <w:pStyle w:val="ListParagraph"/>
        <w:numPr>
          <w:ilvl w:val="1"/>
          <w:numId w:val="24"/>
        </w:numPr>
      </w:pPr>
      <w:r>
        <w:t>Some of the most ‘prestigious’ traditional venues have demonstrated biases (</w:t>
      </w:r>
      <w:proofErr w:type="gramStart"/>
      <w:r>
        <w:t>e.g.</w:t>
      </w:r>
      <w:proofErr w:type="gramEnd"/>
      <w:r>
        <w:t xml:space="preserve"> favoring authors from certain ‘prestigious’ universities, discounting women co-authors, avoiding some topics or aspects.).  Valuing </w:t>
      </w:r>
      <w:proofErr w:type="gramStart"/>
      <w:r>
        <w:t>traditionally-prestigious</w:t>
      </w:r>
      <w:proofErr w:type="gramEnd"/>
      <w:r>
        <w:t xml:space="preserve"> venues above others extends this bias.  </w:t>
      </w:r>
    </w:p>
    <w:p w14:paraId="0064673C" w14:textId="03B2EADC" w:rsidR="00D62AC0" w:rsidRDefault="00D62AC0" w:rsidP="002D1428">
      <w:pPr>
        <w:pStyle w:val="ListParagraph"/>
        <w:numPr>
          <w:ilvl w:val="1"/>
          <w:numId w:val="24"/>
        </w:numPr>
      </w:pPr>
      <w:r>
        <w:t xml:space="preserve">Is there a better way to express ‘national’ ‘international’ ‘visibility’ ‘reputation’ ‘impact’ ‘influence’?  </w:t>
      </w:r>
    </w:p>
    <w:p w14:paraId="01E8BB90" w14:textId="77777777" w:rsidR="00E3693D" w:rsidRDefault="00E3693D" w:rsidP="002D1428">
      <w:pPr>
        <w:pStyle w:val="ListParagraph"/>
        <w:ind w:left="1440"/>
      </w:pPr>
    </w:p>
    <w:p w14:paraId="1E04C90A" w14:textId="0F051E1C" w:rsidR="00607EB0" w:rsidRDefault="00607EB0" w:rsidP="002D1428">
      <w:pPr>
        <w:pStyle w:val="ListParagraph"/>
        <w:numPr>
          <w:ilvl w:val="0"/>
          <w:numId w:val="23"/>
        </w:numPr>
      </w:pPr>
      <w:r w:rsidRPr="002D1428">
        <w:rPr>
          <w:b/>
          <w:bCs/>
        </w:rPr>
        <w:t>Metrics</w:t>
      </w:r>
    </w:p>
    <w:p w14:paraId="733B6175" w14:textId="6D7EEA83" w:rsidR="00607EB0" w:rsidRDefault="00607EB0" w:rsidP="002D1428">
      <w:pPr>
        <w:pStyle w:val="ListParagraph"/>
        <w:numPr>
          <w:ilvl w:val="0"/>
          <w:numId w:val="25"/>
        </w:numPr>
        <w:tabs>
          <w:tab w:val="left" w:pos="1530"/>
        </w:tabs>
        <w:ind w:left="1440"/>
      </w:pPr>
      <w:r>
        <w:t xml:space="preserve">Note that the competitiveness or prestige of a particular </w:t>
      </w:r>
      <w:r w:rsidRPr="00DF158B">
        <w:rPr>
          <w:i/>
          <w:iCs/>
        </w:rPr>
        <w:t xml:space="preserve">venue </w:t>
      </w:r>
      <w:r>
        <w:t xml:space="preserve">is not a direct measure of the impact and importance of a particular </w:t>
      </w:r>
      <w:r w:rsidRPr="00DF158B">
        <w:rPr>
          <w:i/>
          <w:iCs/>
        </w:rPr>
        <w:t xml:space="preserve">work. </w:t>
      </w:r>
      <w:r>
        <w:t xml:space="preserve">Some articles in the ‘best’ journals are never cited.  </w:t>
      </w:r>
      <w:r w:rsidRPr="00DF158B">
        <w:rPr>
          <w:i/>
          <w:iCs/>
        </w:rPr>
        <w:t xml:space="preserve"> </w:t>
      </w:r>
    </w:p>
    <w:p w14:paraId="21F7CF40" w14:textId="48CA8D51" w:rsidR="00607EB0" w:rsidRDefault="00607EB0" w:rsidP="002D1428">
      <w:pPr>
        <w:pStyle w:val="ListParagraph"/>
        <w:numPr>
          <w:ilvl w:val="0"/>
          <w:numId w:val="25"/>
        </w:numPr>
        <w:tabs>
          <w:tab w:val="left" w:pos="1530"/>
        </w:tabs>
        <w:ind w:left="1440"/>
      </w:pPr>
      <w:r>
        <w:t xml:space="preserve">Competitive grant funding is one measure of what reviewers think about the concept proposed.  It is an insufficient measure of the results of the funding.  It also is subject to some embedded bias both in terms of researcher selection (who gets money) and also in terms of what topics are funded at any given time.  </w:t>
      </w:r>
    </w:p>
    <w:p w14:paraId="1D9C3BBD" w14:textId="27853694" w:rsidR="00D15687" w:rsidRDefault="00D15687" w:rsidP="002D1428">
      <w:pPr>
        <w:pStyle w:val="ListParagraph"/>
        <w:numPr>
          <w:ilvl w:val="0"/>
          <w:numId w:val="25"/>
        </w:numPr>
        <w:tabs>
          <w:tab w:val="left" w:pos="1530"/>
        </w:tabs>
        <w:ind w:left="1440"/>
      </w:pPr>
      <w:r>
        <w:t>Many new metrics have been developed (sometimes called ‘alt-metrics’ but that inaccurately implies that they are lesser than the traditional ones.)</w:t>
      </w:r>
    </w:p>
    <w:p w14:paraId="3C8B9E69" w14:textId="30A083D9" w:rsidR="00D15687" w:rsidRDefault="00D15687" w:rsidP="002D1428">
      <w:pPr>
        <w:pStyle w:val="ListParagraph"/>
        <w:numPr>
          <w:ilvl w:val="0"/>
          <w:numId w:val="25"/>
        </w:numPr>
        <w:tabs>
          <w:tab w:val="left" w:pos="1530"/>
        </w:tabs>
        <w:ind w:left="1440"/>
      </w:pPr>
      <w:r>
        <w:t>Candidates (all) should present all available and relevant metrics of the impact, influence, and importance of their work, as appropriate to their purpose and their audiences.  Researchmetrics.iupui.edu can link them to librarians who can assist with this.</w:t>
      </w:r>
    </w:p>
    <w:p w14:paraId="18EEFBBE" w14:textId="179D086C" w:rsidR="00FA4AF7" w:rsidRDefault="00FA4AF7" w:rsidP="002D1428">
      <w:pPr>
        <w:pStyle w:val="ListParagraph"/>
        <w:numPr>
          <w:ilvl w:val="0"/>
          <w:numId w:val="25"/>
        </w:numPr>
        <w:tabs>
          <w:tab w:val="left" w:pos="1530"/>
        </w:tabs>
        <w:ind w:left="1440"/>
      </w:pPr>
      <w:r>
        <w:t xml:space="preserve">Review committees often are not aware of newer methods of measurement, or default to the forms most familiar to them.  </w:t>
      </w:r>
    </w:p>
    <w:p w14:paraId="7E58D13A" w14:textId="061F80FC" w:rsidR="001C76DF" w:rsidRDefault="001C76DF" w:rsidP="002D1428">
      <w:pPr>
        <w:pStyle w:val="ListParagraph"/>
        <w:numPr>
          <w:ilvl w:val="0"/>
          <w:numId w:val="25"/>
        </w:numPr>
        <w:tabs>
          <w:tab w:val="left" w:pos="1530"/>
        </w:tabs>
        <w:ind w:left="1440"/>
      </w:pPr>
      <w:r>
        <w:t xml:space="preserve">What does ‘reputation’ mean? How is it appropriately assessed?  </w:t>
      </w:r>
    </w:p>
    <w:p w14:paraId="01A3EF16" w14:textId="77777777" w:rsidR="00E3693D" w:rsidRDefault="00E3693D" w:rsidP="002D1428">
      <w:pPr>
        <w:pStyle w:val="ListParagraph"/>
        <w:ind w:left="1440"/>
      </w:pPr>
    </w:p>
    <w:p w14:paraId="62F553ED" w14:textId="5B8DE1FB" w:rsidR="00FA4AF7" w:rsidRDefault="00FA4AF7" w:rsidP="002D1428">
      <w:pPr>
        <w:pStyle w:val="ListParagraph"/>
        <w:numPr>
          <w:ilvl w:val="0"/>
          <w:numId w:val="23"/>
        </w:numPr>
        <w:rPr>
          <w:b/>
          <w:bCs/>
        </w:rPr>
      </w:pPr>
      <w:r w:rsidRPr="00FA4AF7">
        <w:rPr>
          <w:b/>
          <w:bCs/>
        </w:rPr>
        <w:t>Independence</w:t>
      </w:r>
    </w:p>
    <w:p w14:paraId="6D234B06" w14:textId="256C69BA" w:rsidR="00FA4AF7" w:rsidRDefault="00FA4AF7" w:rsidP="002D1428">
      <w:pPr>
        <w:pStyle w:val="ListParagraph"/>
        <w:numPr>
          <w:ilvl w:val="0"/>
          <w:numId w:val="26"/>
        </w:numPr>
      </w:pPr>
      <w:r w:rsidRPr="00FA4AF7">
        <w:t>Curre</w:t>
      </w:r>
      <w:r>
        <w:t xml:space="preserve">nt guidelines for all cases emphasize the need for candidates to describe their individual roles in multi-party </w:t>
      </w:r>
      <w:proofErr w:type="gramStart"/>
      <w:r>
        <w:t>endeavors, and</w:t>
      </w:r>
      <w:proofErr w:type="gramEnd"/>
      <w:r>
        <w:t xml:space="preserve"> obtain confirmation for at least the key endeavors.  </w:t>
      </w:r>
    </w:p>
    <w:p w14:paraId="4D6CC412" w14:textId="194BC1C8" w:rsidR="00250920" w:rsidRDefault="00FA4AF7" w:rsidP="002D1428">
      <w:pPr>
        <w:pStyle w:val="ListParagraph"/>
        <w:numPr>
          <w:ilvl w:val="0"/>
          <w:numId w:val="26"/>
        </w:numPr>
      </w:pPr>
      <w:r>
        <w:t xml:space="preserve">Team science and other forms of collaborative projects </w:t>
      </w:r>
      <w:r w:rsidR="00250920">
        <w:t>necessarily have</w:t>
      </w:r>
      <w:r>
        <w:t xml:space="preserve"> </w:t>
      </w:r>
      <w:r w:rsidR="00B17E94">
        <w:t xml:space="preserve">collective </w:t>
      </w:r>
      <w:r w:rsidR="00250920">
        <w:t xml:space="preserve">outcomes; however, it is individuals who are tenured or promoted.  </w:t>
      </w:r>
    </w:p>
    <w:p w14:paraId="4B20BC04" w14:textId="0A55D4C0" w:rsidR="00FA4AF7" w:rsidRDefault="00250920" w:rsidP="002D1428">
      <w:pPr>
        <w:pStyle w:val="ListParagraph"/>
        <w:numPr>
          <w:ilvl w:val="0"/>
          <w:numId w:val="26"/>
        </w:numPr>
      </w:pPr>
      <w:r>
        <w:lastRenderedPageBreak/>
        <w:t xml:space="preserve">Reviewers may hold default expectations for certain PI status or author order that do not appropriately value the essential nature of the candidate’s participation.  </w:t>
      </w:r>
    </w:p>
    <w:p w14:paraId="6292BC24" w14:textId="6C2A961F" w:rsidR="00250920" w:rsidRDefault="00250920" w:rsidP="002D1428">
      <w:pPr>
        <w:pStyle w:val="ListParagraph"/>
        <w:numPr>
          <w:ilvl w:val="0"/>
          <w:numId w:val="26"/>
        </w:numPr>
      </w:pPr>
      <w:r>
        <w:t xml:space="preserve">A candidate’s participation may vary over time (from more junior to more senior) and over projects (lead in this, supportive in that).  </w:t>
      </w:r>
    </w:p>
    <w:p w14:paraId="38CE0F9C" w14:textId="1C89F545" w:rsidR="00250920" w:rsidRPr="00FA4AF7" w:rsidRDefault="00250920" w:rsidP="002D1428">
      <w:pPr>
        <w:pStyle w:val="ListParagraph"/>
        <w:numPr>
          <w:ilvl w:val="0"/>
          <w:numId w:val="26"/>
        </w:numPr>
      </w:pPr>
      <w:r>
        <w:t xml:space="preserve">The candidate should take care to represent their own work accurately and to help reviewers understand how it contributed to joint outcomes.  Reviewers should be open to collaborative methods of achieving goals.  </w:t>
      </w:r>
    </w:p>
    <w:p w14:paraId="3F812DD8" w14:textId="4B33490D" w:rsidR="004230C7" w:rsidRDefault="004230C7" w:rsidP="004230C7"/>
    <w:p w14:paraId="09865397" w14:textId="77777777" w:rsidR="00DB20A9" w:rsidRDefault="00DB20A9" w:rsidP="004230C7"/>
    <w:p w14:paraId="7D5342B0" w14:textId="77777777" w:rsidR="004230C7" w:rsidRDefault="004230C7" w:rsidP="004230C7"/>
    <w:sectPr w:rsidR="004230C7">
      <w:headerReference w:type="even" r:id="rId1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EB685" w14:textId="77777777" w:rsidR="00CB5FF4" w:rsidRDefault="00CB5FF4" w:rsidP="00B502C1">
      <w:r>
        <w:separator/>
      </w:r>
    </w:p>
  </w:endnote>
  <w:endnote w:type="continuationSeparator" w:id="0">
    <w:p w14:paraId="0AB0644D" w14:textId="77777777" w:rsidR="00CB5FF4" w:rsidRDefault="00CB5FF4" w:rsidP="00B502C1">
      <w:r>
        <w:continuationSeparator/>
      </w:r>
    </w:p>
  </w:endnote>
  <w:endnote w:type="continuationNotice" w:id="1">
    <w:p w14:paraId="47832C7B" w14:textId="77777777" w:rsidR="00CB5FF4" w:rsidRDefault="00CB5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991962"/>
      <w:docPartObj>
        <w:docPartGallery w:val="Page Numbers (Bottom of Page)"/>
        <w:docPartUnique/>
      </w:docPartObj>
    </w:sdtPr>
    <w:sdtEndPr>
      <w:rPr>
        <w:color w:val="7F7F7F" w:themeColor="background1" w:themeShade="7F"/>
        <w:spacing w:val="60"/>
      </w:rPr>
    </w:sdtEndPr>
    <w:sdtContent>
      <w:p w14:paraId="0B29AF6C" w14:textId="00777F33" w:rsidR="00EF29AD" w:rsidRDefault="00EF29AD">
        <w:pPr>
          <w:pStyle w:val="Footer"/>
          <w:pBdr>
            <w:top w:val="single" w:sz="4" w:space="1" w:color="D9D9D9" w:themeColor="background1" w:themeShade="D9"/>
          </w:pBdr>
          <w:jc w:val="right"/>
        </w:pPr>
        <w:r>
          <w:fldChar w:fldCharType="begin"/>
        </w:r>
        <w:r>
          <w:instrText xml:space="preserve"> PAGE   \* MERGEFORMAT </w:instrText>
        </w:r>
        <w:r>
          <w:fldChar w:fldCharType="separate"/>
        </w:r>
        <w:r w:rsidR="00201507">
          <w:rPr>
            <w:noProof/>
          </w:rPr>
          <w:t>7</w:t>
        </w:r>
        <w:r>
          <w:rPr>
            <w:noProof/>
          </w:rPr>
          <w:fldChar w:fldCharType="end"/>
        </w:r>
        <w:r>
          <w:t xml:space="preserve"> | </w:t>
        </w:r>
        <w:r>
          <w:rPr>
            <w:color w:val="7F7F7F" w:themeColor="background1" w:themeShade="7F"/>
            <w:spacing w:val="60"/>
          </w:rPr>
          <w:t>Page</w:t>
        </w:r>
      </w:p>
    </w:sdtContent>
  </w:sdt>
  <w:p w14:paraId="45DC3C07" w14:textId="77777777" w:rsidR="00EF29AD" w:rsidRDefault="00EF2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197D2" w14:textId="77777777" w:rsidR="00CB5FF4" w:rsidRDefault="00CB5FF4" w:rsidP="00B502C1">
      <w:r>
        <w:separator/>
      </w:r>
    </w:p>
  </w:footnote>
  <w:footnote w:type="continuationSeparator" w:id="0">
    <w:p w14:paraId="61B16628" w14:textId="77777777" w:rsidR="00CB5FF4" w:rsidRDefault="00CB5FF4" w:rsidP="00B502C1">
      <w:r>
        <w:continuationSeparator/>
      </w:r>
    </w:p>
  </w:footnote>
  <w:footnote w:type="continuationNotice" w:id="1">
    <w:p w14:paraId="0754F140" w14:textId="77777777" w:rsidR="00CB5FF4" w:rsidRDefault="00CB5FF4"/>
  </w:footnote>
  <w:footnote w:id="2">
    <w:p w14:paraId="61E23F64" w14:textId="3938B7F3" w:rsidR="00F247EB" w:rsidRDefault="00F247EB" w:rsidP="00361744">
      <w:pPr>
        <w:pStyle w:val="FootnoteText"/>
        <w:ind w:left="90" w:hanging="90"/>
      </w:pPr>
      <w:r>
        <w:rPr>
          <w:rStyle w:val="FootnoteReference"/>
        </w:rPr>
        <w:footnoteRef/>
      </w:r>
      <w:r>
        <w:t xml:space="preserve"> Normally such cases would emphasize efforts across teaching, research and service activities. However, in the case that only two of three areas are the focus for DEI-related work, candidates must demonstrate at least satisfactory performance in the third area.</w:t>
      </w:r>
    </w:p>
  </w:footnote>
  <w:footnote w:id="3">
    <w:p w14:paraId="2AC7C9D8" w14:textId="6F1CBA97" w:rsidR="00B57F40" w:rsidRDefault="00B57F40">
      <w:pPr>
        <w:pStyle w:val="FootnoteText"/>
      </w:pPr>
      <w:r>
        <w:rPr>
          <w:rStyle w:val="FootnoteReference"/>
        </w:rPr>
        <w:footnoteRef/>
      </w:r>
      <w:r>
        <w:t xml:space="preserve"> IU Policy ACA-38, ‘comparable’ in contrast to research, teaching or service cases.  </w:t>
      </w:r>
    </w:p>
  </w:footnote>
  <w:footnote w:id="4">
    <w:p w14:paraId="23E35B52" w14:textId="77777777" w:rsidR="00765EC4" w:rsidRPr="00B57F40" w:rsidRDefault="00765EC4" w:rsidP="00765EC4">
      <w:pPr>
        <w:pStyle w:val="FootnoteText"/>
      </w:pPr>
      <w:r>
        <w:rPr>
          <w:rStyle w:val="FootnoteReference"/>
        </w:rPr>
        <w:footnoteRef/>
      </w:r>
      <w:r>
        <w:t xml:space="preserve"> Similar to the requirement for a teaching philosophy in teaching-excellence cases (which is incorporated into the candidate statement </w:t>
      </w:r>
      <w:r>
        <w:rPr>
          <w:u w:val="single"/>
        </w:rPr>
        <w:t>or</w:t>
      </w:r>
      <w:r>
        <w:t xml:space="preserve"> presented separately.)</w:t>
      </w:r>
    </w:p>
  </w:footnote>
  <w:footnote w:id="5">
    <w:p w14:paraId="144C9FC7" w14:textId="77777777" w:rsidR="00765EC4" w:rsidRPr="00676722" w:rsidRDefault="00765EC4" w:rsidP="00765EC4">
      <w:pPr>
        <w:pStyle w:val="FootnoteText"/>
      </w:pPr>
      <w:r>
        <w:rPr>
          <w:rStyle w:val="FootnoteReference"/>
        </w:rPr>
        <w:footnoteRef/>
      </w:r>
      <w:r>
        <w:t xml:space="preserve"> In the current guidelines, in the Service area, this is phrased as, the work is </w:t>
      </w:r>
      <w:r>
        <w:rPr>
          <w:i/>
          <w:iCs/>
        </w:rPr>
        <w:t>academic in nature.</w:t>
      </w:r>
      <w:r>
        <w:t xml:space="preserve">  This is described as “characterized by “command and application of relevant knowledge, skills, and technological expertise; contribution to a body of knowledge; imagination, creativity, and innovation; application of ethical standards; achievement of intentional outcomes; and evidence of impact.”</w:t>
      </w:r>
    </w:p>
  </w:footnote>
  <w:footnote w:id="6">
    <w:p w14:paraId="7894C354" w14:textId="77777777" w:rsidR="00765EC4" w:rsidRDefault="00765EC4" w:rsidP="00765EC4">
      <w:pPr>
        <w:pStyle w:val="FootnoteText"/>
      </w:pPr>
      <w:r>
        <w:rPr>
          <w:rStyle w:val="FootnoteReference"/>
        </w:rPr>
        <w:footnoteRef/>
      </w:r>
      <w:r>
        <w:t xml:space="preserve"> Peer-reviewed dissemination is the standard language already used in the IUPUI guidelines, broad enough to cover the wide range of research and creative activities pursued by IUPUI faculty across all schools.  </w:t>
      </w:r>
    </w:p>
  </w:footnote>
  <w:footnote w:id="7">
    <w:p w14:paraId="58783A3B" w14:textId="51457EA8" w:rsidR="00B17E94" w:rsidRDefault="00B17E94">
      <w:pPr>
        <w:pStyle w:val="FootnoteText"/>
      </w:pPr>
      <w:r>
        <w:rPr>
          <w:rStyle w:val="FootnoteReference"/>
        </w:rPr>
        <w:footnoteRef/>
      </w:r>
      <w:r>
        <w:t xml:space="preserve"> In current guidelines, with respect to community-engaged work:  “Given the importance of collaboration in this work, external evaluators must have knowledge of the processes involved in public scholarship activities and should have knowledge of the project content, rather than only experience based on the faculty member’s discipline.  This may include scholars and experts from outside the academy.”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2DBE" w14:textId="19B2A53A" w:rsidR="009F3AC5" w:rsidRDefault="00CE5E62">
    <w:pPr>
      <w:pStyle w:val="Header"/>
    </w:pPr>
    <w:r>
      <w:rPr>
        <w:noProof/>
      </w:rPr>
      <w:pict w14:anchorId="50A74F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94.9pt;height:164.95pt;rotation:315;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F82C" w14:textId="7991F9A0" w:rsidR="00B502C1" w:rsidRPr="00B502C1" w:rsidRDefault="00322DE0" w:rsidP="00B502C1">
    <w:pPr>
      <w:pStyle w:val="Header"/>
      <w:jc w:val="right"/>
      <w:rPr>
        <w:rFonts w:cstheme="minorHAnsi"/>
      </w:rPr>
    </w:pPr>
    <w:r>
      <w:t>DRAFT</w:t>
    </w:r>
    <w:r w:rsidR="00AE3992">
      <w:t xml:space="preserve"> - </w:t>
    </w:r>
    <w:r w:rsidR="00D60816">
      <w:t>4</w:t>
    </w:r>
    <w:r w:rsidR="00AE3992">
      <w:t>-</w:t>
    </w:r>
    <w:r w:rsidR="00D60816">
      <w:t>8</w:t>
    </w:r>
    <w:r w:rsidR="00A142F4">
      <w:t>-202</w:t>
    </w:r>
    <w:r w:rsidR="009D781B">
      <w:t>1</w:t>
    </w:r>
    <w:r w:rsidR="00B502C1">
      <w:t xml:space="preserve"> </w:t>
    </w:r>
    <w:r w:rsidR="00B502C1" w:rsidRPr="00B502C1">
      <w:rPr>
        <w:rFonts w:cstheme="minorHAnsi"/>
      </w:rPr>
      <w:t xml:space="preserve">Page </w:t>
    </w:r>
    <w:r w:rsidR="00B502C1" w:rsidRPr="00B502C1">
      <w:rPr>
        <w:rFonts w:cstheme="minorHAnsi"/>
      </w:rPr>
      <w:fldChar w:fldCharType="begin"/>
    </w:r>
    <w:r w:rsidR="00B502C1" w:rsidRPr="00B502C1">
      <w:rPr>
        <w:rFonts w:cstheme="minorHAnsi"/>
      </w:rPr>
      <w:instrText xml:space="preserve"> PAGE </w:instrText>
    </w:r>
    <w:r w:rsidR="00B502C1" w:rsidRPr="00B502C1">
      <w:rPr>
        <w:rFonts w:cstheme="minorHAnsi"/>
      </w:rPr>
      <w:fldChar w:fldCharType="separate"/>
    </w:r>
    <w:r w:rsidR="00201507">
      <w:rPr>
        <w:rFonts w:cstheme="minorHAnsi"/>
        <w:noProof/>
      </w:rPr>
      <w:t>7</w:t>
    </w:r>
    <w:r w:rsidR="00B502C1" w:rsidRPr="00B502C1">
      <w:rPr>
        <w:rFonts w:cstheme="minorHAnsi"/>
      </w:rPr>
      <w:fldChar w:fldCharType="end"/>
    </w:r>
    <w:r w:rsidR="00B502C1" w:rsidRPr="00B502C1">
      <w:rPr>
        <w:rFonts w:cstheme="minorHAnsi"/>
      </w:rPr>
      <w:t xml:space="preserve"> of </w:t>
    </w:r>
    <w:r w:rsidR="00B502C1" w:rsidRPr="00B502C1">
      <w:rPr>
        <w:rFonts w:cstheme="minorHAnsi"/>
      </w:rPr>
      <w:fldChar w:fldCharType="begin"/>
    </w:r>
    <w:r w:rsidR="00B502C1" w:rsidRPr="00B502C1">
      <w:rPr>
        <w:rFonts w:cstheme="minorHAnsi"/>
      </w:rPr>
      <w:instrText xml:space="preserve"> NUMPAGES </w:instrText>
    </w:r>
    <w:r w:rsidR="00B502C1" w:rsidRPr="00B502C1">
      <w:rPr>
        <w:rFonts w:cstheme="minorHAnsi"/>
      </w:rPr>
      <w:fldChar w:fldCharType="separate"/>
    </w:r>
    <w:r w:rsidR="00201507">
      <w:rPr>
        <w:rFonts w:cstheme="minorHAnsi"/>
        <w:noProof/>
      </w:rPr>
      <w:t>7</w:t>
    </w:r>
    <w:r w:rsidR="00B502C1" w:rsidRPr="00B502C1">
      <w:rPr>
        <w:rFonts w:cstheme="minorHAnsi"/>
      </w:rPr>
      <w:fldChar w:fldCharType="end"/>
    </w:r>
  </w:p>
  <w:p w14:paraId="32FB1E44" w14:textId="7C7C4F33" w:rsidR="00B502C1" w:rsidRDefault="00CE5E62">
    <w:pPr>
      <w:pStyle w:val="Header"/>
    </w:pPr>
    <w:r>
      <w:rPr>
        <w:noProof/>
      </w:rPr>
      <w:pict w14:anchorId="334E78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1in;height:1in;z-index:251668482;mso-wrap-edited:f;mso-width-percent:0;mso-height-percent:0;mso-width-percent:0;mso-height-percent: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533"/>
    <w:multiLevelType w:val="hybridMultilevel"/>
    <w:tmpl w:val="18FA8024"/>
    <w:lvl w:ilvl="0" w:tplc="ABAA21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E3620"/>
    <w:multiLevelType w:val="hybridMultilevel"/>
    <w:tmpl w:val="BC045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B6BCA"/>
    <w:multiLevelType w:val="multilevel"/>
    <w:tmpl w:val="EDE03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FC20CD"/>
    <w:multiLevelType w:val="hybridMultilevel"/>
    <w:tmpl w:val="43E2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B18FD"/>
    <w:multiLevelType w:val="hybridMultilevel"/>
    <w:tmpl w:val="C75CCC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B0274"/>
    <w:multiLevelType w:val="hybridMultilevel"/>
    <w:tmpl w:val="E80E0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F1918"/>
    <w:multiLevelType w:val="hybridMultilevel"/>
    <w:tmpl w:val="ED0206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F470B"/>
    <w:multiLevelType w:val="hybridMultilevel"/>
    <w:tmpl w:val="5FCEB520"/>
    <w:lvl w:ilvl="0" w:tplc="04090001">
      <w:start w:val="1"/>
      <w:numFmt w:val="bullet"/>
      <w:lvlText w:val=""/>
      <w:lvlJc w:val="left"/>
      <w:pPr>
        <w:ind w:left="720" w:hanging="360"/>
      </w:pPr>
      <w:rPr>
        <w:rFonts w:ascii="Symbol" w:hAnsi="Symbol" w:hint="default"/>
      </w:rPr>
    </w:lvl>
    <w:lvl w:ilvl="1" w:tplc="110AF3B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56B29"/>
    <w:multiLevelType w:val="hybridMultilevel"/>
    <w:tmpl w:val="A4F004CA"/>
    <w:lvl w:ilvl="0" w:tplc="110AF3B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B334EC"/>
    <w:multiLevelType w:val="hybridMultilevel"/>
    <w:tmpl w:val="E3446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A36F86"/>
    <w:multiLevelType w:val="hybridMultilevel"/>
    <w:tmpl w:val="6AE40D72"/>
    <w:lvl w:ilvl="0" w:tplc="9EDE2F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E4586"/>
    <w:multiLevelType w:val="hybridMultilevel"/>
    <w:tmpl w:val="BA7EF4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005FB"/>
    <w:multiLevelType w:val="hybridMultilevel"/>
    <w:tmpl w:val="AC1C4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361B1"/>
    <w:multiLevelType w:val="hybridMultilevel"/>
    <w:tmpl w:val="26AE6222"/>
    <w:lvl w:ilvl="0" w:tplc="04090001">
      <w:start w:val="1"/>
      <w:numFmt w:val="bullet"/>
      <w:lvlText w:val=""/>
      <w:lvlJc w:val="left"/>
      <w:pPr>
        <w:ind w:left="720" w:hanging="360"/>
      </w:pPr>
      <w:rPr>
        <w:rFonts w:ascii="Symbol" w:hAnsi="Symbol" w:hint="default"/>
      </w:rPr>
    </w:lvl>
    <w:lvl w:ilvl="1" w:tplc="110AF3B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74DF7"/>
    <w:multiLevelType w:val="hybridMultilevel"/>
    <w:tmpl w:val="7D406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2739A"/>
    <w:multiLevelType w:val="hybridMultilevel"/>
    <w:tmpl w:val="6FDE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47042"/>
    <w:multiLevelType w:val="hybridMultilevel"/>
    <w:tmpl w:val="ABF8C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2767D3"/>
    <w:multiLevelType w:val="hybridMultilevel"/>
    <w:tmpl w:val="9A2CEF44"/>
    <w:lvl w:ilvl="0" w:tplc="96D6FC28">
      <w:numFmt w:val="bullet"/>
      <w:lvlText w:val="o"/>
      <w:lvlJc w:val="left"/>
      <w:pPr>
        <w:ind w:left="1399" w:hanging="360"/>
      </w:pPr>
      <w:rPr>
        <w:rFonts w:ascii="Courier New" w:eastAsia="Courier New" w:hAnsi="Courier New" w:cs="Courier New" w:hint="default"/>
        <w:w w:val="99"/>
        <w:sz w:val="20"/>
        <w:szCs w:val="20"/>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D076F"/>
    <w:multiLevelType w:val="hybridMultilevel"/>
    <w:tmpl w:val="A45CD9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21C1D"/>
    <w:multiLevelType w:val="hybridMultilevel"/>
    <w:tmpl w:val="74FC8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C41360"/>
    <w:multiLevelType w:val="hybridMultilevel"/>
    <w:tmpl w:val="D6AA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94A21"/>
    <w:multiLevelType w:val="hybridMultilevel"/>
    <w:tmpl w:val="12EAE52A"/>
    <w:lvl w:ilvl="0" w:tplc="04090001">
      <w:start w:val="1"/>
      <w:numFmt w:val="bullet"/>
      <w:lvlText w:val=""/>
      <w:lvlJc w:val="left"/>
      <w:pPr>
        <w:ind w:left="720" w:hanging="360"/>
      </w:pPr>
      <w:rPr>
        <w:rFonts w:ascii="Symbol" w:hAnsi="Symbol" w:hint="default"/>
      </w:rPr>
    </w:lvl>
    <w:lvl w:ilvl="1" w:tplc="110AF3B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6168E"/>
    <w:multiLevelType w:val="hybridMultilevel"/>
    <w:tmpl w:val="F056A416"/>
    <w:lvl w:ilvl="0" w:tplc="04090001">
      <w:start w:val="1"/>
      <w:numFmt w:val="bullet"/>
      <w:lvlText w:val=""/>
      <w:lvlJc w:val="left"/>
      <w:pPr>
        <w:ind w:left="720" w:hanging="360"/>
      </w:pPr>
      <w:rPr>
        <w:rFonts w:ascii="Symbol" w:hAnsi="Symbol" w:hint="default"/>
      </w:rPr>
    </w:lvl>
    <w:lvl w:ilvl="1" w:tplc="110AF3B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91CBC"/>
    <w:multiLevelType w:val="hybridMultilevel"/>
    <w:tmpl w:val="2A7E8B44"/>
    <w:lvl w:ilvl="0" w:tplc="04090001">
      <w:start w:val="1"/>
      <w:numFmt w:val="bullet"/>
      <w:lvlText w:val=""/>
      <w:lvlJc w:val="left"/>
      <w:pPr>
        <w:ind w:left="720" w:hanging="360"/>
      </w:pPr>
      <w:rPr>
        <w:rFonts w:ascii="Symbol" w:hAnsi="Symbol" w:hint="default"/>
      </w:rPr>
    </w:lvl>
    <w:lvl w:ilvl="1" w:tplc="110AF3B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24BCF"/>
    <w:multiLevelType w:val="hybridMultilevel"/>
    <w:tmpl w:val="0D78F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BA08C1"/>
    <w:multiLevelType w:val="hybridMultilevel"/>
    <w:tmpl w:val="FB3A9CE8"/>
    <w:lvl w:ilvl="0" w:tplc="110AF3B2">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7C23DB"/>
    <w:multiLevelType w:val="hybridMultilevel"/>
    <w:tmpl w:val="62329E60"/>
    <w:lvl w:ilvl="0" w:tplc="04090001">
      <w:start w:val="1"/>
      <w:numFmt w:val="bullet"/>
      <w:lvlText w:val=""/>
      <w:lvlJc w:val="left"/>
      <w:pPr>
        <w:ind w:left="720" w:hanging="360"/>
      </w:pPr>
      <w:rPr>
        <w:rFonts w:ascii="Symbol" w:hAnsi="Symbol" w:hint="default"/>
      </w:rPr>
    </w:lvl>
    <w:lvl w:ilvl="1" w:tplc="110AF3B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7E5BEF"/>
    <w:multiLevelType w:val="hybridMultilevel"/>
    <w:tmpl w:val="00CA9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8A240D"/>
    <w:multiLevelType w:val="hybridMultilevel"/>
    <w:tmpl w:val="88AA4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9221085">
    <w:abstractNumId w:val="24"/>
  </w:num>
  <w:num w:numId="2" w16cid:durableId="161245347">
    <w:abstractNumId w:val="1"/>
  </w:num>
  <w:num w:numId="3" w16cid:durableId="101732922">
    <w:abstractNumId w:val="6"/>
  </w:num>
  <w:num w:numId="4" w16cid:durableId="1723863926">
    <w:abstractNumId w:val="11"/>
  </w:num>
  <w:num w:numId="5" w16cid:durableId="468859114">
    <w:abstractNumId w:val="4"/>
  </w:num>
  <w:num w:numId="6" w16cid:durableId="237323498">
    <w:abstractNumId w:val="14"/>
  </w:num>
  <w:num w:numId="7" w16cid:durableId="1880702271">
    <w:abstractNumId w:val="12"/>
  </w:num>
  <w:num w:numId="8" w16cid:durableId="1946423015">
    <w:abstractNumId w:val="3"/>
  </w:num>
  <w:num w:numId="9" w16cid:durableId="1190752711">
    <w:abstractNumId w:val="27"/>
  </w:num>
  <w:num w:numId="10" w16cid:durableId="201327640">
    <w:abstractNumId w:val="15"/>
  </w:num>
  <w:num w:numId="11" w16cid:durableId="1087532833">
    <w:abstractNumId w:val="2"/>
  </w:num>
  <w:num w:numId="12" w16cid:durableId="2010212861">
    <w:abstractNumId w:val="10"/>
  </w:num>
  <w:num w:numId="13" w16cid:durableId="1102989618">
    <w:abstractNumId w:val="20"/>
  </w:num>
  <w:num w:numId="14" w16cid:durableId="797794243">
    <w:abstractNumId w:val="5"/>
  </w:num>
  <w:num w:numId="15" w16cid:durableId="379090485">
    <w:abstractNumId w:val="22"/>
  </w:num>
  <w:num w:numId="16" w16cid:durableId="95053947">
    <w:abstractNumId w:val="21"/>
  </w:num>
  <w:num w:numId="17" w16cid:durableId="2029596746">
    <w:abstractNumId w:val="26"/>
  </w:num>
  <w:num w:numId="18" w16cid:durableId="1024092843">
    <w:abstractNumId w:val="8"/>
  </w:num>
  <w:num w:numId="19" w16cid:durableId="1340889939">
    <w:abstractNumId w:val="9"/>
  </w:num>
  <w:num w:numId="20" w16cid:durableId="1584030527">
    <w:abstractNumId w:val="7"/>
  </w:num>
  <w:num w:numId="21" w16cid:durableId="570624339">
    <w:abstractNumId w:val="23"/>
  </w:num>
  <w:num w:numId="22" w16cid:durableId="1260866670">
    <w:abstractNumId w:val="25"/>
  </w:num>
  <w:num w:numId="23" w16cid:durableId="420415586">
    <w:abstractNumId w:val="0"/>
  </w:num>
  <w:num w:numId="24" w16cid:durableId="637804835">
    <w:abstractNumId w:val="18"/>
  </w:num>
  <w:num w:numId="25" w16cid:durableId="1975526036">
    <w:abstractNumId w:val="19"/>
  </w:num>
  <w:num w:numId="26" w16cid:durableId="950673714">
    <w:abstractNumId w:val="16"/>
  </w:num>
  <w:num w:numId="27" w16cid:durableId="820732377">
    <w:abstractNumId w:val="13"/>
  </w:num>
  <w:num w:numId="28" w16cid:durableId="1755472236">
    <w:abstractNumId w:val="28"/>
  </w:num>
  <w:num w:numId="29" w16cid:durableId="20312553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DF8"/>
    <w:rsid w:val="0000438E"/>
    <w:rsid w:val="00004B0D"/>
    <w:rsid w:val="00014D5D"/>
    <w:rsid w:val="00016B84"/>
    <w:rsid w:val="00021CFB"/>
    <w:rsid w:val="00033668"/>
    <w:rsid w:val="000354E3"/>
    <w:rsid w:val="00041314"/>
    <w:rsid w:val="000501E0"/>
    <w:rsid w:val="00056811"/>
    <w:rsid w:val="00077C03"/>
    <w:rsid w:val="00090737"/>
    <w:rsid w:val="00091B8A"/>
    <w:rsid w:val="00095233"/>
    <w:rsid w:val="000A07A5"/>
    <w:rsid w:val="000D453E"/>
    <w:rsid w:val="000E0BE3"/>
    <w:rsid w:val="000F5104"/>
    <w:rsid w:val="00100D7E"/>
    <w:rsid w:val="00106904"/>
    <w:rsid w:val="001073F5"/>
    <w:rsid w:val="00125833"/>
    <w:rsid w:val="001557D0"/>
    <w:rsid w:val="0015628F"/>
    <w:rsid w:val="0016332F"/>
    <w:rsid w:val="0016368A"/>
    <w:rsid w:val="001655D1"/>
    <w:rsid w:val="00172361"/>
    <w:rsid w:val="00172AE4"/>
    <w:rsid w:val="001C4D24"/>
    <w:rsid w:val="001C76DF"/>
    <w:rsid w:val="001E25AF"/>
    <w:rsid w:val="00201507"/>
    <w:rsid w:val="00205750"/>
    <w:rsid w:val="00205E45"/>
    <w:rsid w:val="002171FD"/>
    <w:rsid w:val="0021772C"/>
    <w:rsid w:val="00222C23"/>
    <w:rsid w:val="00223B48"/>
    <w:rsid w:val="0022630B"/>
    <w:rsid w:val="0023342B"/>
    <w:rsid w:val="00233915"/>
    <w:rsid w:val="00243043"/>
    <w:rsid w:val="00243E98"/>
    <w:rsid w:val="00250920"/>
    <w:rsid w:val="0026721B"/>
    <w:rsid w:val="00270778"/>
    <w:rsid w:val="002A7BD8"/>
    <w:rsid w:val="002B1B58"/>
    <w:rsid w:val="002B610F"/>
    <w:rsid w:val="002C49CB"/>
    <w:rsid w:val="002D0481"/>
    <w:rsid w:val="002D1428"/>
    <w:rsid w:val="002D2047"/>
    <w:rsid w:val="002D654E"/>
    <w:rsid w:val="002E774F"/>
    <w:rsid w:val="002F55DB"/>
    <w:rsid w:val="00312FFC"/>
    <w:rsid w:val="00322DE0"/>
    <w:rsid w:val="00361744"/>
    <w:rsid w:val="00361C91"/>
    <w:rsid w:val="003629BA"/>
    <w:rsid w:val="0037296A"/>
    <w:rsid w:val="00375082"/>
    <w:rsid w:val="003964F4"/>
    <w:rsid w:val="00396B92"/>
    <w:rsid w:val="003A2184"/>
    <w:rsid w:val="003B2DF6"/>
    <w:rsid w:val="003B65A6"/>
    <w:rsid w:val="003E02DA"/>
    <w:rsid w:val="003F7E25"/>
    <w:rsid w:val="0042055A"/>
    <w:rsid w:val="004230C7"/>
    <w:rsid w:val="00425058"/>
    <w:rsid w:val="00437F0A"/>
    <w:rsid w:val="004518B4"/>
    <w:rsid w:val="004771F2"/>
    <w:rsid w:val="0048106C"/>
    <w:rsid w:val="00494CEF"/>
    <w:rsid w:val="00495B96"/>
    <w:rsid w:val="004B3990"/>
    <w:rsid w:val="004C4C76"/>
    <w:rsid w:val="004D402C"/>
    <w:rsid w:val="004F589A"/>
    <w:rsid w:val="00504CA9"/>
    <w:rsid w:val="0051641E"/>
    <w:rsid w:val="005211CD"/>
    <w:rsid w:val="00541461"/>
    <w:rsid w:val="00557DC7"/>
    <w:rsid w:val="00574825"/>
    <w:rsid w:val="0057773F"/>
    <w:rsid w:val="0059206B"/>
    <w:rsid w:val="00597EC3"/>
    <w:rsid w:val="005A039F"/>
    <w:rsid w:val="005A282D"/>
    <w:rsid w:val="005B69F9"/>
    <w:rsid w:val="005C08F7"/>
    <w:rsid w:val="005C3407"/>
    <w:rsid w:val="005D7B07"/>
    <w:rsid w:val="00606C57"/>
    <w:rsid w:val="00607EB0"/>
    <w:rsid w:val="00623B82"/>
    <w:rsid w:val="0064560C"/>
    <w:rsid w:val="00652AC9"/>
    <w:rsid w:val="00676722"/>
    <w:rsid w:val="006813D7"/>
    <w:rsid w:val="006825FF"/>
    <w:rsid w:val="006B168A"/>
    <w:rsid w:val="006C2E4E"/>
    <w:rsid w:val="006E09E0"/>
    <w:rsid w:val="006E47F6"/>
    <w:rsid w:val="007027AC"/>
    <w:rsid w:val="00723CBB"/>
    <w:rsid w:val="0072715E"/>
    <w:rsid w:val="00736D05"/>
    <w:rsid w:val="007412D1"/>
    <w:rsid w:val="007448DC"/>
    <w:rsid w:val="00745CD0"/>
    <w:rsid w:val="00765EC4"/>
    <w:rsid w:val="007666D0"/>
    <w:rsid w:val="007720FD"/>
    <w:rsid w:val="00784AAC"/>
    <w:rsid w:val="00785669"/>
    <w:rsid w:val="007A0A98"/>
    <w:rsid w:val="007E030E"/>
    <w:rsid w:val="007F7177"/>
    <w:rsid w:val="00800E92"/>
    <w:rsid w:val="008312C7"/>
    <w:rsid w:val="008339DD"/>
    <w:rsid w:val="00876FF9"/>
    <w:rsid w:val="008923E1"/>
    <w:rsid w:val="008C684A"/>
    <w:rsid w:val="008C6CA6"/>
    <w:rsid w:val="008D57CE"/>
    <w:rsid w:val="008F7A60"/>
    <w:rsid w:val="00900841"/>
    <w:rsid w:val="00906B2A"/>
    <w:rsid w:val="0091570F"/>
    <w:rsid w:val="00957607"/>
    <w:rsid w:val="00971C2C"/>
    <w:rsid w:val="00991651"/>
    <w:rsid w:val="0099234D"/>
    <w:rsid w:val="00992674"/>
    <w:rsid w:val="00993E9C"/>
    <w:rsid w:val="009B5B58"/>
    <w:rsid w:val="009D781B"/>
    <w:rsid w:val="009D78D3"/>
    <w:rsid w:val="009E04C7"/>
    <w:rsid w:val="009F3AC5"/>
    <w:rsid w:val="00A01738"/>
    <w:rsid w:val="00A142F4"/>
    <w:rsid w:val="00A15EE1"/>
    <w:rsid w:val="00A42F61"/>
    <w:rsid w:val="00A500B6"/>
    <w:rsid w:val="00A6087F"/>
    <w:rsid w:val="00A7207B"/>
    <w:rsid w:val="00A95372"/>
    <w:rsid w:val="00AA43F4"/>
    <w:rsid w:val="00AA5D78"/>
    <w:rsid w:val="00AB32EF"/>
    <w:rsid w:val="00AB644E"/>
    <w:rsid w:val="00AE3992"/>
    <w:rsid w:val="00B17E94"/>
    <w:rsid w:val="00B22BCE"/>
    <w:rsid w:val="00B502C1"/>
    <w:rsid w:val="00B53544"/>
    <w:rsid w:val="00B54EA7"/>
    <w:rsid w:val="00B56A75"/>
    <w:rsid w:val="00B56AFC"/>
    <w:rsid w:val="00B57F40"/>
    <w:rsid w:val="00B60ABD"/>
    <w:rsid w:val="00B66B58"/>
    <w:rsid w:val="00B80B0E"/>
    <w:rsid w:val="00B84874"/>
    <w:rsid w:val="00BB7442"/>
    <w:rsid w:val="00BC1395"/>
    <w:rsid w:val="00BC6566"/>
    <w:rsid w:val="00BD2FE5"/>
    <w:rsid w:val="00BD45BF"/>
    <w:rsid w:val="00BD53BC"/>
    <w:rsid w:val="00BD6C12"/>
    <w:rsid w:val="00BE4A14"/>
    <w:rsid w:val="00C2294E"/>
    <w:rsid w:val="00C24ACA"/>
    <w:rsid w:val="00C268AF"/>
    <w:rsid w:val="00C65034"/>
    <w:rsid w:val="00C8481A"/>
    <w:rsid w:val="00C8647B"/>
    <w:rsid w:val="00CA289A"/>
    <w:rsid w:val="00CB5FF4"/>
    <w:rsid w:val="00CC0DC1"/>
    <w:rsid w:val="00CC1531"/>
    <w:rsid w:val="00CC57D4"/>
    <w:rsid w:val="00CE516E"/>
    <w:rsid w:val="00CE5E62"/>
    <w:rsid w:val="00CF4E5E"/>
    <w:rsid w:val="00D15687"/>
    <w:rsid w:val="00D15DF8"/>
    <w:rsid w:val="00D31F37"/>
    <w:rsid w:val="00D60816"/>
    <w:rsid w:val="00D62AC0"/>
    <w:rsid w:val="00D62B1A"/>
    <w:rsid w:val="00D62B4D"/>
    <w:rsid w:val="00D8740A"/>
    <w:rsid w:val="00D91933"/>
    <w:rsid w:val="00D933B2"/>
    <w:rsid w:val="00D94052"/>
    <w:rsid w:val="00D97FA5"/>
    <w:rsid w:val="00DA4ED8"/>
    <w:rsid w:val="00DB20A9"/>
    <w:rsid w:val="00DB6D76"/>
    <w:rsid w:val="00DD0908"/>
    <w:rsid w:val="00DD5140"/>
    <w:rsid w:val="00DD5275"/>
    <w:rsid w:val="00DE00FE"/>
    <w:rsid w:val="00DF02FC"/>
    <w:rsid w:val="00DF158B"/>
    <w:rsid w:val="00E3693D"/>
    <w:rsid w:val="00E57947"/>
    <w:rsid w:val="00E630DC"/>
    <w:rsid w:val="00E75E17"/>
    <w:rsid w:val="00EA2FDF"/>
    <w:rsid w:val="00EC57E5"/>
    <w:rsid w:val="00EC68E0"/>
    <w:rsid w:val="00ED1785"/>
    <w:rsid w:val="00EE2186"/>
    <w:rsid w:val="00EF06D3"/>
    <w:rsid w:val="00EF29AD"/>
    <w:rsid w:val="00F247EB"/>
    <w:rsid w:val="00F35448"/>
    <w:rsid w:val="00F46BF6"/>
    <w:rsid w:val="00F653DC"/>
    <w:rsid w:val="00F77DE1"/>
    <w:rsid w:val="00F90957"/>
    <w:rsid w:val="00FA4AF7"/>
    <w:rsid w:val="00FB3F4B"/>
    <w:rsid w:val="00FB4307"/>
    <w:rsid w:val="00FB7E7B"/>
    <w:rsid w:val="00FC140B"/>
    <w:rsid w:val="00FC2021"/>
    <w:rsid w:val="00FC47E8"/>
    <w:rsid w:val="00FE23DB"/>
    <w:rsid w:val="00FE70DC"/>
    <w:rsid w:val="00FF248E"/>
    <w:rsid w:val="5C7A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95BBD0"/>
  <w15:chartTrackingRefBased/>
  <w15:docId w15:val="{EC81F20C-AA82-FE4A-8341-129664E3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C4C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0C7"/>
    <w:pPr>
      <w:ind w:left="720"/>
      <w:contextualSpacing/>
    </w:pPr>
  </w:style>
  <w:style w:type="paragraph" w:styleId="Header">
    <w:name w:val="header"/>
    <w:basedOn w:val="Normal"/>
    <w:link w:val="HeaderChar"/>
    <w:uiPriority w:val="99"/>
    <w:unhideWhenUsed/>
    <w:rsid w:val="00B502C1"/>
    <w:pPr>
      <w:tabs>
        <w:tab w:val="center" w:pos="4680"/>
        <w:tab w:val="right" w:pos="9360"/>
      </w:tabs>
    </w:pPr>
  </w:style>
  <w:style w:type="character" w:customStyle="1" w:styleId="HeaderChar">
    <w:name w:val="Header Char"/>
    <w:basedOn w:val="DefaultParagraphFont"/>
    <w:link w:val="Header"/>
    <w:uiPriority w:val="99"/>
    <w:rsid w:val="00B502C1"/>
  </w:style>
  <w:style w:type="paragraph" w:styleId="Footer">
    <w:name w:val="footer"/>
    <w:basedOn w:val="Normal"/>
    <w:link w:val="FooterChar"/>
    <w:uiPriority w:val="99"/>
    <w:unhideWhenUsed/>
    <w:rsid w:val="00B502C1"/>
    <w:pPr>
      <w:tabs>
        <w:tab w:val="center" w:pos="4680"/>
        <w:tab w:val="right" w:pos="9360"/>
      </w:tabs>
    </w:pPr>
  </w:style>
  <w:style w:type="character" w:customStyle="1" w:styleId="FooterChar">
    <w:name w:val="Footer Char"/>
    <w:basedOn w:val="DefaultParagraphFont"/>
    <w:link w:val="Footer"/>
    <w:uiPriority w:val="99"/>
    <w:rsid w:val="00B502C1"/>
  </w:style>
  <w:style w:type="character" w:styleId="Hyperlink">
    <w:name w:val="Hyperlink"/>
    <w:basedOn w:val="DefaultParagraphFont"/>
    <w:uiPriority w:val="99"/>
    <w:unhideWhenUsed/>
    <w:rsid w:val="001557D0"/>
    <w:rPr>
      <w:color w:val="0563C1" w:themeColor="hyperlink"/>
      <w:u w:val="single"/>
    </w:rPr>
  </w:style>
  <w:style w:type="character" w:customStyle="1" w:styleId="UnresolvedMention1">
    <w:name w:val="Unresolved Mention1"/>
    <w:basedOn w:val="DefaultParagraphFont"/>
    <w:uiPriority w:val="99"/>
    <w:semiHidden/>
    <w:unhideWhenUsed/>
    <w:rsid w:val="001557D0"/>
    <w:rPr>
      <w:color w:val="605E5C"/>
      <w:shd w:val="clear" w:color="auto" w:fill="E1DFDD"/>
    </w:rPr>
  </w:style>
  <w:style w:type="character" w:customStyle="1" w:styleId="Heading2Char">
    <w:name w:val="Heading 2 Char"/>
    <w:basedOn w:val="DefaultParagraphFont"/>
    <w:link w:val="Heading2"/>
    <w:uiPriority w:val="9"/>
    <w:rsid w:val="004C4C76"/>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4C4C76"/>
    <w:rPr>
      <w:sz w:val="20"/>
      <w:szCs w:val="20"/>
    </w:rPr>
  </w:style>
  <w:style w:type="character" w:customStyle="1" w:styleId="FootnoteTextChar">
    <w:name w:val="Footnote Text Char"/>
    <w:basedOn w:val="DefaultParagraphFont"/>
    <w:link w:val="FootnoteText"/>
    <w:uiPriority w:val="99"/>
    <w:semiHidden/>
    <w:rsid w:val="004C4C76"/>
    <w:rPr>
      <w:sz w:val="20"/>
      <w:szCs w:val="20"/>
    </w:rPr>
  </w:style>
  <w:style w:type="character" w:styleId="FootnoteReference">
    <w:name w:val="footnote reference"/>
    <w:basedOn w:val="DefaultParagraphFont"/>
    <w:uiPriority w:val="99"/>
    <w:semiHidden/>
    <w:unhideWhenUsed/>
    <w:rsid w:val="004C4C76"/>
    <w:rPr>
      <w:vertAlign w:val="superscript"/>
    </w:rPr>
  </w:style>
  <w:style w:type="character" w:styleId="CommentReference">
    <w:name w:val="annotation reference"/>
    <w:basedOn w:val="DefaultParagraphFont"/>
    <w:uiPriority w:val="99"/>
    <w:semiHidden/>
    <w:unhideWhenUsed/>
    <w:rsid w:val="00041314"/>
    <w:rPr>
      <w:sz w:val="16"/>
      <w:szCs w:val="16"/>
    </w:rPr>
  </w:style>
  <w:style w:type="paragraph" w:styleId="CommentText">
    <w:name w:val="annotation text"/>
    <w:basedOn w:val="Normal"/>
    <w:link w:val="CommentTextChar"/>
    <w:uiPriority w:val="99"/>
    <w:semiHidden/>
    <w:unhideWhenUsed/>
    <w:rsid w:val="00041314"/>
    <w:rPr>
      <w:sz w:val="20"/>
      <w:szCs w:val="20"/>
    </w:rPr>
  </w:style>
  <w:style w:type="character" w:customStyle="1" w:styleId="CommentTextChar">
    <w:name w:val="Comment Text Char"/>
    <w:basedOn w:val="DefaultParagraphFont"/>
    <w:link w:val="CommentText"/>
    <w:uiPriority w:val="99"/>
    <w:semiHidden/>
    <w:rsid w:val="00041314"/>
    <w:rPr>
      <w:sz w:val="20"/>
      <w:szCs w:val="20"/>
    </w:rPr>
  </w:style>
  <w:style w:type="paragraph" w:styleId="CommentSubject">
    <w:name w:val="annotation subject"/>
    <w:basedOn w:val="CommentText"/>
    <w:next w:val="CommentText"/>
    <w:link w:val="CommentSubjectChar"/>
    <w:uiPriority w:val="99"/>
    <w:semiHidden/>
    <w:unhideWhenUsed/>
    <w:rsid w:val="00041314"/>
    <w:rPr>
      <w:b/>
      <w:bCs/>
    </w:rPr>
  </w:style>
  <w:style w:type="character" w:customStyle="1" w:styleId="CommentSubjectChar">
    <w:name w:val="Comment Subject Char"/>
    <w:basedOn w:val="CommentTextChar"/>
    <w:link w:val="CommentSubject"/>
    <w:uiPriority w:val="99"/>
    <w:semiHidden/>
    <w:rsid w:val="00041314"/>
    <w:rPr>
      <w:b/>
      <w:bCs/>
      <w:sz w:val="20"/>
      <w:szCs w:val="20"/>
    </w:rPr>
  </w:style>
  <w:style w:type="paragraph" w:styleId="BalloonText">
    <w:name w:val="Balloon Text"/>
    <w:basedOn w:val="Normal"/>
    <w:link w:val="BalloonTextChar"/>
    <w:uiPriority w:val="99"/>
    <w:semiHidden/>
    <w:unhideWhenUsed/>
    <w:rsid w:val="000413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314"/>
    <w:rPr>
      <w:rFonts w:ascii="Segoe UI" w:hAnsi="Segoe UI" w:cs="Segoe UI"/>
      <w:sz w:val="18"/>
      <w:szCs w:val="18"/>
    </w:rPr>
  </w:style>
  <w:style w:type="paragraph" w:styleId="Subtitle">
    <w:name w:val="Subtitle"/>
    <w:basedOn w:val="Normal"/>
    <w:next w:val="Normal"/>
    <w:link w:val="SubtitleChar"/>
    <w:uiPriority w:val="11"/>
    <w:qFormat/>
    <w:rsid w:val="00C24AC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24ACA"/>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C24ACA"/>
    <w:rPr>
      <w:i/>
      <w:iCs/>
      <w:color w:val="404040" w:themeColor="text1" w:themeTint="BF"/>
    </w:rPr>
  </w:style>
  <w:style w:type="character" w:styleId="Emphasis">
    <w:name w:val="Emphasis"/>
    <w:basedOn w:val="DefaultParagraphFont"/>
    <w:uiPriority w:val="20"/>
    <w:qFormat/>
    <w:rsid w:val="00C24ACA"/>
    <w:rPr>
      <w:i/>
      <w:iCs/>
    </w:rPr>
  </w:style>
  <w:style w:type="table" w:styleId="TableGrid">
    <w:name w:val="Table Grid"/>
    <w:basedOn w:val="TableNormal"/>
    <w:uiPriority w:val="39"/>
    <w:rsid w:val="00765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65EC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CC57D4"/>
  </w:style>
  <w:style w:type="character" w:styleId="UnresolvedMention">
    <w:name w:val="Unresolved Mention"/>
    <w:basedOn w:val="DefaultParagraphFont"/>
    <w:uiPriority w:val="99"/>
    <w:semiHidden/>
    <w:unhideWhenUsed/>
    <w:rsid w:val="00FF248E"/>
    <w:rPr>
      <w:color w:val="605E5C"/>
      <w:shd w:val="clear" w:color="auto" w:fill="E1DFDD"/>
    </w:rPr>
  </w:style>
  <w:style w:type="character" w:styleId="FollowedHyperlink">
    <w:name w:val="FollowedHyperlink"/>
    <w:basedOn w:val="DefaultParagraphFont"/>
    <w:uiPriority w:val="99"/>
    <w:semiHidden/>
    <w:unhideWhenUsed/>
    <w:rsid w:val="002C49CB"/>
    <w:rPr>
      <w:color w:val="954F72" w:themeColor="followedHyperlink"/>
      <w:u w:val="single"/>
    </w:rPr>
  </w:style>
  <w:style w:type="paragraph" w:styleId="BodyText">
    <w:name w:val="Body Text"/>
    <w:basedOn w:val="Normal"/>
    <w:link w:val="BodyTextChar"/>
    <w:uiPriority w:val="1"/>
    <w:qFormat/>
    <w:rsid w:val="00BD53BC"/>
    <w:pPr>
      <w:widowControl w:val="0"/>
      <w:autoSpaceDE w:val="0"/>
      <w:autoSpaceDN w:val="0"/>
      <w:spacing w:line="360" w:lineRule="auto"/>
    </w:pPr>
    <w:rPr>
      <w:rFonts w:ascii="Calibri" w:eastAsia="Arial" w:hAnsi="Calibri" w:cs="Arial"/>
      <w:sz w:val="22"/>
      <w:szCs w:val="20"/>
      <w:lang w:bidi="en-US"/>
    </w:rPr>
  </w:style>
  <w:style w:type="character" w:customStyle="1" w:styleId="BodyTextChar">
    <w:name w:val="Body Text Char"/>
    <w:basedOn w:val="DefaultParagraphFont"/>
    <w:link w:val="BodyText"/>
    <w:uiPriority w:val="1"/>
    <w:rsid w:val="00BD53BC"/>
    <w:rPr>
      <w:rFonts w:ascii="Calibri" w:eastAsia="Arial" w:hAnsi="Calibri" w:cs="Arial"/>
      <w:sz w:val="22"/>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6857">
      <w:bodyDiv w:val="1"/>
      <w:marLeft w:val="0"/>
      <w:marRight w:val="0"/>
      <w:marTop w:val="0"/>
      <w:marBottom w:val="0"/>
      <w:divBdr>
        <w:top w:val="none" w:sz="0" w:space="0" w:color="auto"/>
        <w:left w:val="none" w:sz="0" w:space="0" w:color="auto"/>
        <w:bottom w:val="none" w:sz="0" w:space="0" w:color="auto"/>
        <w:right w:val="none" w:sz="0" w:space="0" w:color="auto"/>
      </w:divBdr>
    </w:div>
    <w:div w:id="155014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emicaffairs.iupui.edu/AAContent/Html/Media/AAContent/02-PromotionTenure/PromotionAndTenure/ptguidelines-current-year-fina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ademicaffairs.iupui.edu/AAContent/Html/Media/AAContent/02-PromotionTenure/PromotionAndTenure/ptguidelines-current-year-fina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emicaffairs.iupui.edu/AAContent/Html/Media/AAContent/02-PromotionTenure/PromotionAndTenure/ptguidelines-current-year-final.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4EF7329279364FBADF8D5007D64E81" ma:contentTypeVersion="13" ma:contentTypeDescription="Create a new document." ma:contentTypeScope="" ma:versionID="93de84b70cc0d9904ee8d4d51bd9319e">
  <xsd:schema xmlns:xsd="http://www.w3.org/2001/XMLSchema" xmlns:xs="http://www.w3.org/2001/XMLSchema" xmlns:p="http://schemas.microsoft.com/office/2006/metadata/properties" xmlns:ns3="70ab0f79-8ab0-4e8b-a065-66afadb83ff9" xmlns:ns4="7ee6488c-2e28-41a7-aeed-8e224536e0a0" targetNamespace="http://schemas.microsoft.com/office/2006/metadata/properties" ma:root="true" ma:fieldsID="d9de55401dd2b8d6e432859ce85e1af9" ns3:_="" ns4:_="">
    <xsd:import namespace="70ab0f79-8ab0-4e8b-a065-66afadb83ff9"/>
    <xsd:import namespace="7ee6488c-2e28-41a7-aeed-8e224536e0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b0f79-8ab0-4e8b-a065-66afadb83f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6488c-2e28-41a7-aeed-8e224536e0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02A064-553C-47E2-858E-6C75520174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E57633-7291-4F83-85EE-BC233DB4B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b0f79-8ab0-4e8b-a065-66afadb83ff9"/>
    <ds:schemaRef ds:uri="7ee6488c-2e28-41a7-aeed-8e224536e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CB702-F2C1-444A-8EF0-FE6E3A18A976}">
  <ds:schemaRefs>
    <ds:schemaRef ds:uri="http://schemas.openxmlformats.org/officeDocument/2006/bibliography"/>
  </ds:schemaRefs>
</ds:datastoreItem>
</file>

<file path=customXml/itemProps4.xml><?xml version="1.0" encoding="utf-8"?>
<ds:datastoreItem xmlns:ds="http://schemas.openxmlformats.org/officeDocument/2006/customXml" ds:itemID="{0A23DACA-EC69-430B-AC72-DC90D70D8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15209</CharactersWithSpaces>
  <SharedDoc>false</SharedDoc>
  <HLinks>
    <vt:vector size="6" baseType="variant">
      <vt:variant>
        <vt:i4>1572947</vt:i4>
      </vt:variant>
      <vt:variant>
        <vt:i4>0</vt:i4>
      </vt:variant>
      <vt:variant>
        <vt:i4>0</vt:i4>
      </vt:variant>
      <vt:variant>
        <vt:i4>5</vt:i4>
      </vt:variant>
      <vt:variant>
        <vt:lpwstr>https://www.metrics-toolkit.org/explore-metrics/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Applegate, Rachel</dc:creator>
  <cp:keywords/>
  <dc:description/>
  <cp:lastModifiedBy>Lee, Karen</cp:lastModifiedBy>
  <cp:revision>3</cp:revision>
  <dcterms:created xsi:type="dcterms:W3CDTF">2024-02-12T20:37:00Z</dcterms:created>
  <dcterms:modified xsi:type="dcterms:W3CDTF">2024-02-12T20:40:00Z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0x010100B84EF7329279364FBADF8D5007D64E81</vt:lpwstr>
  </property>
</Properties>
</file>