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77A5" w14:textId="3F063F79" w:rsidR="007D06D0" w:rsidRPr="00A66B6D" w:rsidRDefault="00EA7DDD" w:rsidP="00867B31">
      <w:pPr>
        <w:spacing w:line="240" w:lineRule="auto"/>
        <w:contextualSpacing/>
        <w:rPr>
          <w:rFonts w:ascii="BentonSans Black" w:hAnsi="BentonSans Black"/>
          <w:b/>
          <w:sz w:val="40"/>
        </w:rPr>
      </w:pPr>
      <w:r>
        <w:rPr>
          <w:rFonts w:ascii="BentonSans Black" w:hAnsi="BentonSans Black"/>
          <w:b/>
          <w:sz w:val="40"/>
        </w:rPr>
        <w:t>Alvin S. Bynum Award for Excellence in Academic Mentoring</w:t>
      </w:r>
      <w:r w:rsidR="0061541A" w:rsidRPr="00A66B6D">
        <w:rPr>
          <w:rFonts w:ascii="BentonSans Black" w:hAnsi="BentonSans Black"/>
          <w:b/>
          <w:sz w:val="40"/>
        </w:rPr>
        <w:t xml:space="preserve"> </w:t>
      </w:r>
      <w:r w:rsidR="0051640F">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FF4A13">
        <w:rPr>
          <w:rFonts w:ascii="BentonSans Black" w:hAnsi="BentonSans Black"/>
          <w:b/>
          <w:sz w:val="36"/>
        </w:rPr>
        <w:t>02</w:t>
      </w:r>
      <w:r w:rsidR="00FB1C8E">
        <w:rPr>
          <w:rFonts w:ascii="BentonSans Black" w:hAnsi="BentonSans Black"/>
          <w:b/>
          <w:sz w:val="36"/>
        </w:rPr>
        <w:t>4</w:t>
      </w:r>
    </w:p>
    <w:p w14:paraId="7480ABDC" w14:textId="77777777" w:rsidR="00034B50" w:rsidRPr="00EA7DDD" w:rsidRDefault="00034B50" w:rsidP="004D3F32">
      <w:pPr>
        <w:spacing w:line="240" w:lineRule="auto"/>
        <w:ind w:left="180" w:right="2160"/>
        <w:contextualSpacing/>
        <w:rPr>
          <w:rFonts w:ascii="BentonSans" w:hAnsi="BentonSans"/>
          <w:sz w:val="20"/>
          <w:szCs w:val="20"/>
        </w:rPr>
      </w:pPr>
    </w:p>
    <w:p w14:paraId="074E1C99" w14:textId="77777777" w:rsidR="00867B31" w:rsidRDefault="00EA7DDD" w:rsidP="00EA7DDD">
      <w:pPr>
        <w:rPr>
          <w:rFonts w:ascii="BentonSans" w:hAnsi="BentonSans"/>
          <w:sz w:val="20"/>
          <w:szCs w:val="20"/>
        </w:rPr>
      </w:pPr>
      <w:r w:rsidRPr="00EA7DDD">
        <w:rPr>
          <w:rFonts w:ascii="BentonSans" w:hAnsi="BentonSans"/>
          <w:sz w:val="20"/>
          <w:szCs w:val="20"/>
        </w:rPr>
        <w:t xml:space="preserve">The Bynum Mentor Award is given each year to outstanding academic mentors who have demonstrated longstanding and extraordinary commitment to the learning process. </w:t>
      </w:r>
    </w:p>
    <w:p w14:paraId="5AABCEDB" w14:textId="77777777" w:rsidR="00034B50" w:rsidRDefault="00EA7DDD" w:rsidP="00E90F3A">
      <w:pPr>
        <w:spacing w:after="0"/>
        <w:rPr>
          <w:rFonts w:ascii="BentonSans" w:hAnsi="BentonSans"/>
          <w:sz w:val="20"/>
          <w:szCs w:val="20"/>
        </w:rPr>
      </w:pPr>
      <w:r w:rsidRPr="00EA7DDD">
        <w:rPr>
          <w:rFonts w:ascii="BentonSans" w:hAnsi="BentonSans"/>
          <w:sz w:val="20"/>
          <w:szCs w:val="20"/>
        </w:rPr>
        <w:t xml:space="preserve">One faculty member and one professional staff member may be named each year. A $1,000 cash award will be given to each recipient.  </w:t>
      </w:r>
    </w:p>
    <w:p w14:paraId="0C2B8705" w14:textId="77777777" w:rsidR="00E90F3A" w:rsidRPr="00EA7DDD" w:rsidRDefault="00E90F3A" w:rsidP="00E90F3A">
      <w:pPr>
        <w:spacing w:after="0"/>
        <w:rPr>
          <w:rFonts w:ascii="BentonSans" w:hAnsi="BentonSans"/>
          <w:sz w:val="20"/>
          <w:szCs w:val="20"/>
        </w:rPr>
      </w:pPr>
    </w:p>
    <w:p w14:paraId="7CE78E06"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5A4079C2" w14:textId="656E6785" w:rsidR="00EA7DDD" w:rsidRPr="00867B31"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867B31">
        <w:rPr>
          <w:rFonts w:ascii="BentonSans" w:hAnsi="BentonSans"/>
          <w:sz w:val="20"/>
          <w:szCs w:val="20"/>
        </w:rPr>
        <w:t>All full- and part-time faculty and acad</w:t>
      </w:r>
      <w:r w:rsidR="00867B31" w:rsidRPr="00867B31">
        <w:rPr>
          <w:rFonts w:ascii="BentonSans" w:hAnsi="BentonSans"/>
          <w:sz w:val="20"/>
          <w:szCs w:val="20"/>
        </w:rPr>
        <w:t>emic staff members;</w:t>
      </w:r>
      <w:r w:rsidRPr="00867B31">
        <w:rPr>
          <w:rFonts w:ascii="BentonSans" w:hAnsi="BentonSans"/>
          <w:sz w:val="20"/>
          <w:szCs w:val="20"/>
        </w:rPr>
        <w:t xml:space="preserve"> including all advisors, mentors, and counselors at the </w:t>
      </w:r>
      <w:r w:rsidR="00A72EC9">
        <w:rPr>
          <w:rFonts w:ascii="BentonSans" w:hAnsi="BentonSans"/>
          <w:sz w:val="20"/>
          <w:szCs w:val="20"/>
        </w:rPr>
        <w:t>PAC, PAO, PAE, and PAL</w:t>
      </w:r>
      <w:r w:rsidRPr="00867B31">
        <w:rPr>
          <w:rFonts w:ascii="BentonSans" w:hAnsi="BentonSans"/>
          <w:sz w:val="20"/>
          <w:szCs w:val="20"/>
        </w:rPr>
        <w:t xml:space="preserve"> employee classification levels.  </w:t>
      </w:r>
    </w:p>
    <w:p w14:paraId="768BF1CC" w14:textId="77777777" w:rsidR="00EA7DDD" w:rsidRPr="008C301D" w:rsidRDefault="00EA7DDD" w:rsidP="00A66B6D">
      <w:pPr>
        <w:spacing w:after="0" w:line="240" w:lineRule="auto"/>
        <w:ind w:right="2160"/>
        <w:contextualSpacing/>
        <w:rPr>
          <w:sz w:val="20"/>
        </w:rPr>
      </w:pPr>
    </w:p>
    <w:p w14:paraId="71C815A5"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23F34292" w14:textId="77777777" w:rsidR="00867B31"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EA7DDD">
        <w:rPr>
          <w:rFonts w:ascii="BentonSans" w:hAnsi="BentonSans"/>
          <w:sz w:val="20"/>
          <w:szCs w:val="20"/>
        </w:rPr>
        <w:t xml:space="preserve">Criteria for selection include the mentor’s cumulative impact on the lives of students, commitment to student development, and the ability to project and instill enthusiasm and pride. </w:t>
      </w:r>
    </w:p>
    <w:p w14:paraId="464D969B" w14:textId="77777777" w:rsidR="00867B31"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EA7DDD">
        <w:rPr>
          <w:rFonts w:ascii="BentonSans" w:hAnsi="BentonSans"/>
          <w:sz w:val="20"/>
          <w:szCs w:val="20"/>
        </w:rPr>
        <w:t xml:space="preserve">The emphasis in selection of award recipients will be on out-of-class mentoring activities, not in-class teaching. </w:t>
      </w:r>
    </w:p>
    <w:p w14:paraId="2997A1A9" w14:textId="77777777" w:rsidR="00867B31"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EA7DDD">
        <w:rPr>
          <w:rFonts w:ascii="BentonSans" w:hAnsi="BentonSans"/>
          <w:sz w:val="20"/>
          <w:szCs w:val="20"/>
        </w:rPr>
        <w:t xml:space="preserve">The awards are designed for individuals recognized by students and colleagues as having made truly extraordinary contributions. </w:t>
      </w:r>
    </w:p>
    <w:p w14:paraId="392192B5" w14:textId="77777777" w:rsidR="00867B31"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EA7DDD">
        <w:rPr>
          <w:rFonts w:ascii="BentonSans" w:hAnsi="BentonSans"/>
          <w:sz w:val="20"/>
          <w:szCs w:val="20"/>
        </w:rPr>
        <w:t>Nominees may include persons working with undergraduate students, graduate students, and profe</w:t>
      </w:r>
      <w:r w:rsidR="00FA7C87">
        <w:rPr>
          <w:rFonts w:ascii="BentonSans" w:hAnsi="BentonSans"/>
          <w:sz w:val="20"/>
          <w:szCs w:val="20"/>
        </w:rPr>
        <w:t>ssional students, although the s</w:t>
      </w:r>
      <w:r w:rsidRPr="00EA7DDD">
        <w:rPr>
          <w:rFonts w:ascii="BentonSans" w:hAnsi="BentonSans"/>
          <w:sz w:val="20"/>
          <w:szCs w:val="20"/>
        </w:rPr>
        <w:t xml:space="preserve">election </w:t>
      </w:r>
      <w:r w:rsidR="00FA7C87">
        <w:rPr>
          <w:rFonts w:ascii="BentonSans" w:hAnsi="BentonSans"/>
          <w:sz w:val="20"/>
          <w:szCs w:val="20"/>
        </w:rPr>
        <w:t>c</w:t>
      </w:r>
      <w:r w:rsidRPr="00EA7DDD">
        <w:rPr>
          <w:rFonts w:ascii="BentonSans" w:hAnsi="BentonSans"/>
          <w:sz w:val="20"/>
          <w:szCs w:val="20"/>
        </w:rPr>
        <w:t xml:space="preserve">ommittee will place a priority on undergraduate mentoring. </w:t>
      </w:r>
    </w:p>
    <w:p w14:paraId="5805FA13" w14:textId="77777777" w:rsidR="00EA7DDD" w:rsidRPr="00EA7DDD" w:rsidRDefault="00EA7DDD" w:rsidP="00867B31">
      <w:pPr>
        <w:pStyle w:val="ListParagraph"/>
        <w:numPr>
          <w:ilvl w:val="0"/>
          <w:numId w:val="12"/>
        </w:numPr>
        <w:spacing w:after="0" w:line="240" w:lineRule="auto"/>
        <w:ind w:left="360" w:right="2160" w:hanging="180"/>
        <w:rPr>
          <w:rFonts w:ascii="BentonSans" w:hAnsi="BentonSans"/>
          <w:sz w:val="20"/>
          <w:szCs w:val="20"/>
        </w:rPr>
      </w:pPr>
      <w:r w:rsidRPr="00EA7DDD">
        <w:rPr>
          <w:rFonts w:ascii="BentonSans" w:hAnsi="BentonSans"/>
          <w:sz w:val="20"/>
          <w:szCs w:val="20"/>
        </w:rPr>
        <w:t xml:space="preserve">Nomination and support letters must speak to the candidate’s extraordinary service as an academic advisor or personal mentor to students over a period of several years and who have, thus, demonstrated a cumulative impact on the quality of learning available at IUPUI.  </w:t>
      </w:r>
    </w:p>
    <w:p w14:paraId="7857A050" w14:textId="77777777" w:rsidR="00EA7DDD" w:rsidRPr="008C301D" w:rsidRDefault="00EA7DDD" w:rsidP="008C301D">
      <w:pPr>
        <w:contextualSpacing/>
        <w:rPr>
          <w:rFonts w:ascii="BentonSans Black" w:hAnsi="BentonSans Black"/>
          <w:sz w:val="20"/>
        </w:rPr>
      </w:pPr>
    </w:p>
    <w:p w14:paraId="54AE0F1A" w14:textId="77777777" w:rsidR="004D3F32" w:rsidRPr="00A66B6D" w:rsidRDefault="00854557"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 xml:space="preserve">Nomination </w:t>
      </w:r>
      <w:r w:rsidR="004D3F32" w:rsidRPr="00A66B6D">
        <w:rPr>
          <w:rFonts w:ascii="BentonSans Black" w:hAnsi="BentonSans Black"/>
          <w:b/>
          <w:i/>
          <w:sz w:val="24"/>
        </w:rPr>
        <w:t>Process</w:t>
      </w:r>
    </w:p>
    <w:p w14:paraId="348643F8" w14:textId="77777777" w:rsidR="00EA7DDD" w:rsidRDefault="00EA7DDD" w:rsidP="00854557">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Any member of the campus community may serve as a nominator. Nominations prepared jointly by faculty and students are encouraged.</w:t>
      </w:r>
    </w:p>
    <w:p w14:paraId="1DEA4DAC" w14:textId="77777777" w:rsidR="00034B50" w:rsidRPr="00034B50" w:rsidRDefault="004D3F32" w:rsidP="00854557">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 xml:space="preserve">Complete the electronic nomination form and upload required documentation </w:t>
      </w:r>
      <w:r w:rsidRPr="008658DD">
        <w:rPr>
          <w:rFonts w:ascii="BentonSans" w:hAnsi="BentonSans"/>
          <w:sz w:val="20"/>
        </w:rPr>
        <w:t>online at:</w:t>
      </w:r>
      <w:r w:rsidR="00867B31">
        <w:rPr>
          <w:rFonts w:ascii="BentonSans" w:hAnsi="BentonSans"/>
          <w:sz w:val="20"/>
        </w:rPr>
        <w:t xml:space="preserve"> </w:t>
      </w:r>
      <w:hyperlink r:id="rId7" w:history="1">
        <w:r w:rsidR="00867B31" w:rsidRPr="00867B31">
          <w:rPr>
            <w:rFonts w:ascii="BentonSans" w:hAnsi="BentonSans"/>
            <w:color w:val="0000FF"/>
            <w:sz w:val="20"/>
            <w:u w:val="single"/>
          </w:rPr>
          <w:t>https://academicaffairs.iupui.edu/Faculty-Affairs/Honors-Awards/IUPUI-Campus-Awards/Bynum/</w:t>
        </w:r>
      </w:hyperlink>
    </w:p>
    <w:p w14:paraId="40B28B63" w14:textId="77777777" w:rsidR="00034B50" w:rsidRDefault="00034B50" w:rsidP="00854557">
      <w:pPr>
        <w:contextualSpacing/>
        <w:rPr>
          <w:rFonts w:ascii="BentonSans" w:hAnsi="BentonSans"/>
          <w:color w:val="A90533"/>
          <w:sz w:val="20"/>
        </w:rPr>
      </w:pPr>
    </w:p>
    <w:p w14:paraId="1C9A2EE2" w14:textId="77777777" w:rsidR="004D3F32" w:rsidRPr="00EA7DDD" w:rsidRDefault="004D3F32" w:rsidP="00867B31">
      <w:pPr>
        <w:spacing w:after="0"/>
        <w:rPr>
          <w:rFonts w:ascii="BentonSans" w:hAnsi="BentonSans"/>
          <w:b/>
          <w:i/>
          <w:sz w:val="20"/>
        </w:rPr>
      </w:pPr>
      <w:r w:rsidRPr="00A66B6D">
        <w:rPr>
          <w:rFonts w:ascii="BentonSans Black" w:hAnsi="BentonSans Black"/>
          <w:b/>
          <w:i/>
          <w:sz w:val="24"/>
        </w:rPr>
        <w:t>Documentation</w:t>
      </w:r>
    </w:p>
    <w:p w14:paraId="62054660" w14:textId="77777777" w:rsidR="004D3F32" w:rsidRDefault="004D3F32" w:rsidP="004D3F32">
      <w:pPr>
        <w:spacing w:after="0" w:line="240" w:lineRule="auto"/>
        <w:ind w:right="2160"/>
        <w:rPr>
          <w:rFonts w:ascii="BentonSans" w:hAnsi="BentonSans"/>
          <w:sz w:val="20"/>
        </w:rPr>
      </w:pPr>
      <w:r w:rsidRPr="004D3F32">
        <w:rPr>
          <w:rFonts w:ascii="BentonSans" w:hAnsi="BentonSans"/>
          <w:sz w:val="20"/>
        </w:rPr>
        <w:t>All suppo</w:t>
      </w:r>
      <w:r>
        <w:rPr>
          <w:rFonts w:ascii="BentonSans" w:hAnsi="BentonSans"/>
          <w:sz w:val="20"/>
        </w:rPr>
        <w:t>rting documentation for the nomination must be submitted electronically an</w:t>
      </w:r>
      <w:r w:rsidR="00B73168">
        <w:rPr>
          <w:rFonts w:ascii="BentonSans" w:hAnsi="BentonSans"/>
          <w:sz w:val="20"/>
        </w:rPr>
        <w:t>d should include the following:</w:t>
      </w:r>
    </w:p>
    <w:p w14:paraId="7F69CC81" w14:textId="77777777" w:rsidR="00B73168" w:rsidRDefault="00B73168" w:rsidP="004D3F32">
      <w:pPr>
        <w:spacing w:after="0" w:line="240" w:lineRule="auto"/>
        <w:ind w:right="2160"/>
        <w:rPr>
          <w:rFonts w:ascii="BentonSans" w:hAnsi="BentonSans"/>
          <w:sz w:val="20"/>
        </w:rPr>
      </w:pPr>
    </w:p>
    <w:p w14:paraId="18D765D4" w14:textId="77777777" w:rsidR="004D3F32" w:rsidRDefault="004D3F32" w:rsidP="007A567B">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Pr="004D3F32">
        <w:rPr>
          <w:rFonts w:ascii="BentonSans" w:hAnsi="BentonSans"/>
          <w:b/>
          <w:sz w:val="20"/>
        </w:rPr>
        <w:t>omination letter:</w:t>
      </w:r>
      <w:r w:rsidRPr="004D3F32">
        <w:rPr>
          <w:rFonts w:ascii="BentonSans" w:hAnsi="BentonSans"/>
          <w:sz w:val="20"/>
        </w:rPr>
        <w:t xml:space="preserve"> </w:t>
      </w:r>
      <w:r w:rsidR="007A567B">
        <w:rPr>
          <w:rFonts w:ascii="BentonSans" w:hAnsi="BentonSans"/>
          <w:sz w:val="20"/>
        </w:rPr>
        <w:t>An official nomination letter which should be concise, substantive, and specific, demonstrating why the candidate being nominated has made such a distinctive contribution.</w:t>
      </w:r>
    </w:p>
    <w:p w14:paraId="1A6A3E53" w14:textId="77777777" w:rsidR="008658DD" w:rsidRPr="008658DD" w:rsidRDefault="008658DD" w:rsidP="00284129">
      <w:pPr>
        <w:pStyle w:val="ListParagraph"/>
        <w:numPr>
          <w:ilvl w:val="0"/>
          <w:numId w:val="1"/>
        </w:numPr>
        <w:spacing w:line="240" w:lineRule="auto"/>
        <w:ind w:left="360" w:right="2160" w:hanging="180"/>
        <w:rPr>
          <w:rFonts w:ascii="BentonSans" w:hAnsi="BentonSans"/>
          <w:sz w:val="20"/>
        </w:rPr>
      </w:pPr>
      <w:r w:rsidRPr="008658DD">
        <w:rPr>
          <w:rFonts w:ascii="BentonSans" w:hAnsi="BentonSans"/>
          <w:b/>
          <w:sz w:val="20"/>
        </w:rPr>
        <w:t>Curriculum Vitae:</w:t>
      </w:r>
      <w:r w:rsidR="00B73168">
        <w:rPr>
          <w:rFonts w:ascii="BentonSans" w:hAnsi="BentonSans"/>
          <w:sz w:val="20"/>
        </w:rPr>
        <w:t xml:space="preserve"> Candidate’s curriculum vitae (CV)</w:t>
      </w:r>
    </w:p>
    <w:p w14:paraId="78E5B47D" w14:textId="77777777" w:rsidR="00B73168" w:rsidRDefault="007A567B" w:rsidP="00B73168">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w:t>
      </w:r>
      <w:r w:rsidR="008658DD">
        <w:rPr>
          <w:rFonts w:ascii="BentonSans" w:hAnsi="BentonSans"/>
          <w:b/>
          <w:sz w:val="20"/>
        </w:rPr>
        <w:t xml:space="preserve">etters of support: </w:t>
      </w:r>
      <w:r>
        <w:rPr>
          <w:rFonts w:ascii="BentonSans" w:hAnsi="BentonSans"/>
          <w:i/>
          <w:sz w:val="20"/>
        </w:rPr>
        <w:t>No more than six (6)</w:t>
      </w:r>
      <w:r w:rsidRPr="00B73168">
        <w:rPr>
          <w:rFonts w:ascii="BentonSans" w:hAnsi="BentonSans"/>
          <w:sz w:val="20"/>
        </w:rPr>
        <w:t xml:space="preserve"> letter</w:t>
      </w:r>
      <w:r w:rsidR="00B73168">
        <w:rPr>
          <w:rFonts w:ascii="BentonSans" w:hAnsi="BentonSans"/>
          <w:sz w:val="20"/>
        </w:rPr>
        <w:t>s</w:t>
      </w:r>
      <w:r w:rsidRPr="00B73168">
        <w:rPr>
          <w:rFonts w:ascii="BentonSans" w:hAnsi="BentonSans"/>
          <w:sz w:val="20"/>
        </w:rPr>
        <w:t xml:space="preserve"> of support </w:t>
      </w:r>
      <w:r>
        <w:rPr>
          <w:rFonts w:ascii="BentonSans" w:hAnsi="BentonSans"/>
          <w:sz w:val="20"/>
        </w:rPr>
        <w:t xml:space="preserve">from current and former students, faculty, and colleagues. </w:t>
      </w:r>
    </w:p>
    <w:p w14:paraId="1F4A2469" w14:textId="77777777" w:rsidR="00B73168" w:rsidRDefault="007A567B" w:rsidP="00B73168">
      <w:pPr>
        <w:pStyle w:val="ListParagraph"/>
        <w:numPr>
          <w:ilvl w:val="1"/>
          <w:numId w:val="1"/>
        </w:numPr>
        <w:spacing w:line="240" w:lineRule="auto"/>
        <w:ind w:right="2160"/>
        <w:rPr>
          <w:rFonts w:ascii="BentonSans" w:hAnsi="BentonSans"/>
          <w:sz w:val="20"/>
        </w:rPr>
      </w:pPr>
      <w:r>
        <w:rPr>
          <w:rFonts w:ascii="BentonSans" w:hAnsi="BentonSans"/>
          <w:sz w:val="20"/>
        </w:rPr>
        <w:t>Each letter should be solicited and addressed to the Bynum Mentor Selection Committee and include the wri</w:t>
      </w:r>
      <w:r w:rsidR="00B73168">
        <w:rPr>
          <w:rFonts w:ascii="BentonSans" w:hAnsi="BentonSans"/>
          <w:sz w:val="20"/>
        </w:rPr>
        <w:t xml:space="preserve">ter’s full contact information. </w:t>
      </w:r>
    </w:p>
    <w:p w14:paraId="7A639380" w14:textId="77777777" w:rsidR="008658DD" w:rsidRPr="00B73168" w:rsidRDefault="007A567B" w:rsidP="00B73168">
      <w:pPr>
        <w:pStyle w:val="ListParagraph"/>
        <w:numPr>
          <w:ilvl w:val="1"/>
          <w:numId w:val="1"/>
        </w:numPr>
        <w:spacing w:line="240" w:lineRule="auto"/>
        <w:ind w:right="2160"/>
        <w:rPr>
          <w:rFonts w:ascii="BentonSans" w:hAnsi="BentonSans"/>
          <w:sz w:val="20"/>
        </w:rPr>
      </w:pPr>
      <w:r w:rsidRPr="00B73168">
        <w:rPr>
          <w:rFonts w:ascii="BentonSans" w:hAnsi="BentonSans"/>
          <w:sz w:val="20"/>
        </w:rPr>
        <w:t>Letters should support the nomination letter by imparting direct experience with the candidate’s mentoring activities. Letters included in the nomination packet should address as thoroughly as possible the following items:</w:t>
      </w:r>
    </w:p>
    <w:p w14:paraId="591EA104" w14:textId="77777777" w:rsidR="007A567B" w:rsidRDefault="007A567B" w:rsidP="00B73168">
      <w:pPr>
        <w:pStyle w:val="ListParagraph"/>
        <w:numPr>
          <w:ilvl w:val="2"/>
          <w:numId w:val="1"/>
        </w:numPr>
        <w:spacing w:line="240" w:lineRule="auto"/>
        <w:ind w:right="2160"/>
        <w:rPr>
          <w:rFonts w:ascii="BentonSans" w:hAnsi="BentonSans"/>
          <w:sz w:val="20"/>
        </w:rPr>
      </w:pPr>
      <w:r>
        <w:rPr>
          <w:rFonts w:ascii="BentonSans" w:hAnsi="BentonSans"/>
          <w:sz w:val="20"/>
        </w:rPr>
        <w:t>Devotion beyond the “call of duty” and involvement with students beyond normal and expected requirements of candidate’s position with the university.</w:t>
      </w:r>
    </w:p>
    <w:p w14:paraId="0713F8B0" w14:textId="77777777" w:rsidR="007A567B" w:rsidRDefault="007A567B" w:rsidP="00B73168">
      <w:pPr>
        <w:pStyle w:val="ListParagraph"/>
        <w:numPr>
          <w:ilvl w:val="2"/>
          <w:numId w:val="1"/>
        </w:numPr>
        <w:spacing w:line="240" w:lineRule="auto"/>
        <w:ind w:right="2160"/>
        <w:rPr>
          <w:rFonts w:ascii="BentonSans" w:hAnsi="BentonSans"/>
          <w:sz w:val="20"/>
        </w:rPr>
      </w:pPr>
      <w:r>
        <w:rPr>
          <w:rFonts w:ascii="BentonSans" w:hAnsi="BentonSans"/>
          <w:sz w:val="20"/>
        </w:rPr>
        <w:lastRenderedPageBreak/>
        <w:t xml:space="preserve">Indication of </w:t>
      </w:r>
      <w:r w:rsidR="00B73168">
        <w:rPr>
          <w:rFonts w:ascii="BentonSans" w:hAnsi="BentonSans"/>
          <w:sz w:val="20"/>
        </w:rPr>
        <w:t>s</w:t>
      </w:r>
      <w:r>
        <w:rPr>
          <w:rFonts w:ascii="BentonSans" w:hAnsi="BentonSans"/>
          <w:sz w:val="20"/>
        </w:rPr>
        <w:t>tatements or activities which show commitment to the educational philosophy that a significant aspect of formal education is for students to “know thyself”.</w:t>
      </w:r>
    </w:p>
    <w:p w14:paraId="2438306F" w14:textId="77777777" w:rsidR="007A567B" w:rsidRDefault="007A567B" w:rsidP="00B73168">
      <w:pPr>
        <w:pStyle w:val="ListParagraph"/>
        <w:numPr>
          <w:ilvl w:val="2"/>
          <w:numId w:val="1"/>
        </w:numPr>
        <w:spacing w:line="240" w:lineRule="auto"/>
        <w:ind w:right="2160"/>
        <w:rPr>
          <w:rFonts w:ascii="BentonSans" w:hAnsi="BentonSans"/>
          <w:sz w:val="20"/>
        </w:rPr>
      </w:pPr>
      <w:r>
        <w:rPr>
          <w:rFonts w:ascii="BentonSans" w:hAnsi="BentonSans"/>
          <w:sz w:val="20"/>
        </w:rPr>
        <w:t>Demonstrated pride and loyalty to IUPUI and the instilling of that same pride and loyalty in students.</w:t>
      </w:r>
    </w:p>
    <w:p w14:paraId="1AA6EA84" w14:textId="77777777" w:rsidR="007A567B" w:rsidRPr="008658DD" w:rsidRDefault="007A567B" w:rsidP="00B73168">
      <w:pPr>
        <w:pStyle w:val="ListParagraph"/>
        <w:numPr>
          <w:ilvl w:val="2"/>
          <w:numId w:val="1"/>
        </w:numPr>
        <w:spacing w:line="240" w:lineRule="auto"/>
        <w:ind w:right="2160"/>
        <w:rPr>
          <w:rFonts w:ascii="BentonSans" w:hAnsi="BentonSans"/>
          <w:sz w:val="20"/>
        </w:rPr>
      </w:pPr>
      <w:r>
        <w:rPr>
          <w:rFonts w:ascii="BentonSans" w:hAnsi="BentonSans"/>
          <w:sz w:val="20"/>
        </w:rPr>
        <w:t>Recognition of outstanding record by students and colleagues.</w:t>
      </w:r>
    </w:p>
    <w:p w14:paraId="107F9BC7"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0A87E242" w14:textId="77777777" w:rsidR="00015C4A" w:rsidRDefault="00015C4A" w:rsidP="00015C4A">
      <w:pPr>
        <w:contextualSpacing/>
        <w:rPr>
          <w:rFonts w:ascii="BentonSans" w:hAnsi="BentonSans"/>
          <w:sz w:val="20"/>
        </w:rPr>
      </w:pPr>
    </w:p>
    <w:p w14:paraId="19FFC3F6" w14:textId="77777777" w:rsidR="00015C4A" w:rsidRDefault="00015C4A" w:rsidP="00015C4A">
      <w:pPr>
        <w:contextualSpacing/>
        <w:rPr>
          <w:rFonts w:ascii="BentonSans" w:hAnsi="BentonSans"/>
          <w:sz w:val="20"/>
        </w:rPr>
      </w:pPr>
      <w:r>
        <w:rPr>
          <w:rFonts w:ascii="BentonSans" w:hAnsi="BentonSans"/>
          <w:sz w:val="20"/>
        </w:rPr>
        <w:t>In addition to the required documentation, please provide the following when completing the nomination form online:</w:t>
      </w:r>
    </w:p>
    <w:p w14:paraId="040D80DF"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 xml:space="preserve">First and last name; university ID#, </w:t>
      </w:r>
      <w:r w:rsidR="00B73168">
        <w:rPr>
          <w:rFonts w:ascii="BentonSans" w:hAnsi="BentonSans"/>
          <w:sz w:val="20"/>
        </w:rPr>
        <w:t xml:space="preserve">candidate’s classification; </w:t>
      </w:r>
      <w:r w:rsidRPr="00015C4A">
        <w:rPr>
          <w:rFonts w:ascii="BentonSans" w:hAnsi="BentonSans"/>
          <w:sz w:val="20"/>
        </w:rPr>
        <w:t>school;</w:t>
      </w:r>
      <w:r w:rsidR="00356C5E">
        <w:rPr>
          <w:rFonts w:ascii="BentonSans" w:hAnsi="BentonSans"/>
          <w:sz w:val="20"/>
        </w:rPr>
        <w:t xml:space="preserve"> department; campus address; e-</w:t>
      </w:r>
      <w:r w:rsidRPr="00015C4A">
        <w:rPr>
          <w:rFonts w:ascii="BentonSans" w:hAnsi="BentonSans"/>
          <w:sz w:val="20"/>
        </w:rPr>
        <w:t>mail address; and phone number</w:t>
      </w:r>
    </w:p>
    <w:p w14:paraId="1515AFF3"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school; department; campus address; e-mail address; and phone number</w:t>
      </w:r>
    </w:p>
    <w:p w14:paraId="7C0BB4F2" w14:textId="77777777" w:rsidR="00015C4A" w:rsidRDefault="00015C4A" w:rsidP="00015C4A">
      <w:pPr>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6829A68A" w14:textId="77777777" w:rsidR="001127CD" w:rsidRDefault="001127CD" w:rsidP="00015C4A">
      <w:pPr>
        <w:contextualSpacing/>
        <w:rPr>
          <w:rFonts w:ascii="BentonSans" w:hAnsi="BentonSans"/>
          <w:sz w:val="20"/>
        </w:rPr>
      </w:pPr>
    </w:p>
    <w:p w14:paraId="20E6FB70" w14:textId="77777777" w:rsidR="00E90F3A" w:rsidRPr="00E90F3A" w:rsidRDefault="00E90F3A" w:rsidP="00E90F3A">
      <w:pPr>
        <w:spacing w:after="0" w:line="240" w:lineRule="auto"/>
        <w:ind w:right="2160"/>
        <w:contextualSpacing/>
        <w:rPr>
          <w:rFonts w:ascii="BentonSans Black" w:hAnsi="BentonSans Black"/>
          <w:b/>
          <w:i/>
          <w:sz w:val="24"/>
        </w:rPr>
      </w:pPr>
      <w:r w:rsidRPr="00E90F3A">
        <w:rPr>
          <w:rFonts w:ascii="BentonSans Black" w:hAnsi="BentonSans Black"/>
          <w:b/>
          <w:i/>
          <w:sz w:val="24"/>
        </w:rPr>
        <w:t>Nomination Deadline</w:t>
      </w:r>
    </w:p>
    <w:p w14:paraId="5848C277" w14:textId="2237821C" w:rsidR="00E90F3A" w:rsidRPr="00E90F3A" w:rsidRDefault="00E90F3A" w:rsidP="00E90F3A">
      <w:pPr>
        <w:tabs>
          <w:tab w:val="left" w:pos="10260"/>
        </w:tabs>
        <w:spacing w:line="240" w:lineRule="auto"/>
        <w:ind w:right="540"/>
        <w:rPr>
          <w:rFonts w:ascii="BentonSans" w:hAnsi="BentonSans"/>
          <w:sz w:val="18"/>
        </w:rPr>
      </w:pPr>
      <w:r w:rsidRPr="00E90F3A">
        <w:rPr>
          <w:rFonts w:ascii="BentonSans" w:hAnsi="BentonSans"/>
          <w:sz w:val="20"/>
        </w:rPr>
        <w:t xml:space="preserve">Nominations must be submitted online no later than </w:t>
      </w:r>
      <w:r w:rsidR="00902230" w:rsidRPr="00902230">
        <w:rPr>
          <w:rFonts w:ascii="BentonSans" w:hAnsi="BentonSans"/>
          <w:b/>
          <w:i/>
          <w:color w:val="A90533"/>
          <w:sz w:val="20"/>
        </w:rPr>
        <w:t>midn</w:t>
      </w:r>
      <w:r w:rsidR="003365EF">
        <w:rPr>
          <w:rFonts w:ascii="BentonSans" w:hAnsi="BentonSans"/>
          <w:b/>
          <w:i/>
          <w:color w:val="A90533"/>
          <w:sz w:val="20"/>
        </w:rPr>
        <w:t>ight on</w:t>
      </w:r>
      <w:r w:rsidR="00FF4A13">
        <w:rPr>
          <w:rFonts w:ascii="BentonSans" w:hAnsi="BentonSans"/>
          <w:b/>
          <w:i/>
          <w:color w:val="A90533"/>
          <w:sz w:val="20"/>
        </w:rPr>
        <w:t xml:space="preserve"> </w:t>
      </w:r>
      <w:r w:rsidR="00FB1C8E">
        <w:rPr>
          <w:rFonts w:ascii="BentonSans" w:hAnsi="BentonSans"/>
          <w:b/>
          <w:i/>
          <w:color w:val="A90533"/>
          <w:sz w:val="20"/>
        </w:rPr>
        <w:t xml:space="preserve">Monday, </w:t>
      </w:r>
      <w:r w:rsidR="00FF4A13">
        <w:rPr>
          <w:rFonts w:ascii="BentonSans" w:hAnsi="BentonSans"/>
          <w:b/>
          <w:i/>
          <w:color w:val="A90533"/>
          <w:sz w:val="20"/>
        </w:rPr>
        <w:t xml:space="preserve">January </w:t>
      </w:r>
      <w:r w:rsidR="00FB1C8E">
        <w:rPr>
          <w:rFonts w:ascii="BentonSans" w:hAnsi="BentonSans"/>
          <w:b/>
          <w:i/>
          <w:color w:val="A90533"/>
          <w:sz w:val="20"/>
        </w:rPr>
        <w:t>15</w:t>
      </w:r>
      <w:r w:rsidR="00FF4A13">
        <w:rPr>
          <w:rFonts w:ascii="BentonSans" w:hAnsi="BentonSans"/>
          <w:b/>
          <w:i/>
          <w:color w:val="A90533"/>
          <w:sz w:val="20"/>
        </w:rPr>
        <w:t>, 202</w:t>
      </w:r>
      <w:r w:rsidR="00FB1C8E">
        <w:rPr>
          <w:rFonts w:ascii="BentonSans" w:hAnsi="BentonSans"/>
          <w:b/>
          <w:i/>
          <w:color w:val="A90533"/>
          <w:sz w:val="20"/>
        </w:rPr>
        <w:t>4</w:t>
      </w:r>
      <w:r w:rsidRPr="00E90F3A">
        <w:rPr>
          <w:rFonts w:ascii="BentonSans" w:hAnsi="BentonSans"/>
          <w:b/>
          <w:i/>
          <w:color w:val="A90533"/>
          <w:sz w:val="20"/>
        </w:rPr>
        <w:t>.</w:t>
      </w:r>
    </w:p>
    <w:p w14:paraId="7A5933B5" w14:textId="77777777" w:rsidR="00E90F3A" w:rsidRDefault="00E90F3A" w:rsidP="00015C4A">
      <w:pPr>
        <w:contextualSpacing/>
        <w:rPr>
          <w:rFonts w:ascii="BentonSans" w:hAnsi="BentonSans"/>
          <w:sz w:val="20"/>
        </w:rPr>
      </w:pPr>
    </w:p>
    <w:p w14:paraId="4B2196D9"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7AF33B41" w14:textId="298C2A79" w:rsidR="00A3238E" w:rsidRDefault="00523F14" w:rsidP="007226FB">
      <w:pPr>
        <w:spacing w:after="0" w:line="240" w:lineRule="auto"/>
        <w:ind w:right="2160"/>
        <w:rPr>
          <w:rFonts w:ascii="BentonSans Black" w:hAnsi="BentonSans Black"/>
          <w:b/>
          <w:i/>
          <w:sz w:val="24"/>
        </w:rPr>
      </w:pPr>
      <w:r w:rsidRPr="00E90F3A">
        <w:rPr>
          <w:rFonts w:ascii="BentonSans" w:hAnsi="BentonSans"/>
          <w:sz w:val="20"/>
        </w:rPr>
        <w:t xml:space="preserve">The review committee will be comprised of past winners of the Bynum Mentor Award.  </w:t>
      </w:r>
      <w:r w:rsidR="00902230">
        <w:rPr>
          <w:rFonts w:ascii="BentonSans Black" w:hAnsi="BentonSans Black"/>
          <w:b/>
          <w:i/>
          <w:sz w:val="24"/>
        </w:rPr>
        <w:br/>
      </w:r>
      <w:r w:rsidR="00902230">
        <w:rPr>
          <w:rFonts w:ascii="BentonSans Black" w:hAnsi="BentonSans Black"/>
          <w:b/>
          <w:i/>
          <w:sz w:val="24"/>
        </w:rPr>
        <w:br/>
      </w:r>
      <w:r w:rsidR="00902230">
        <w:rPr>
          <w:rFonts w:ascii="BentonSans Black" w:hAnsi="BentonSans Black"/>
          <w:b/>
          <w:i/>
          <w:sz w:val="24"/>
        </w:rPr>
        <w:br/>
      </w:r>
      <w:r w:rsidR="00902230">
        <w:rPr>
          <w:rFonts w:ascii="BentonSans Black" w:hAnsi="BentonSans Black"/>
          <w:b/>
          <w:i/>
          <w:sz w:val="24"/>
        </w:rPr>
        <w:br/>
      </w:r>
      <w:r w:rsidR="00902230">
        <w:rPr>
          <w:rFonts w:ascii="BentonSans Black" w:hAnsi="BentonSans Black"/>
          <w:b/>
          <w:i/>
          <w:sz w:val="24"/>
        </w:rPr>
        <w:br/>
      </w:r>
      <w:r w:rsidR="00902230">
        <w:rPr>
          <w:rFonts w:ascii="BentonSans Black" w:hAnsi="BentonSans Black"/>
          <w:b/>
          <w:i/>
          <w:sz w:val="24"/>
        </w:rPr>
        <w:br/>
      </w:r>
      <w:r w:rsidR="00E90F3A">
        <w:rPr>
          <w:rFonts w:ascii="BentonSans Black" w:hAnsi="BentonSans Black"/>
          <w:b/>
          <w:i/>
          <w:sz w:val="24"/>
        </w:rPr>
        <w:br/>
      </w:r>
      <w:r w:rsidR="00E90F3A">
        <w:rPr>
          <w:rFonts w:ascii="BentonSans Black" w:hAnsi="BentonSans Black"/>
          <w:b/>
          <w:i/>
          <w:sz w:val="24"/>
        </w:rPr>
        <w:br/>
      </w:r>
      <w:r w:rsidR="00E90F3A">
        <w:rPr>
          <w:rFonts w:ascii="BentonSans Black" w:hAnsi="BentonSans Black"/>
          <w:b/>
          <w:i/>
          <w:sz w:val="24"/>
        </w:rPr>
        <w:br/>
      </w:r>
      <w:r w:rsidR="00E90F3A">
        <w:rPr>
          <w:rFonts w:ascii="BentonSans Black" w:hAnsi="BentonSans Black"/>
          <w:b/>
          <w:i/>
          <w:sz w:val="24"/>
        </w:rPr>
        <w:br/>
      </w:r>
    </w:p>
    <w:p w14:paraId="7307FF77" w14:textId="77777777" w:rsidR="00A3238E" w:rsidRDefault="00A3238E" w:rsidP="007226FB">
      <w:pPr>
        <w:spacing w:after="0" w:line="240" w:lineRule="auto"/>
        <w:ind w:right="2160"/>
        <w:rPr>
          <w:rFonts w:ascii="BentonSans Black" w:hAnsi="BentonSans Black"/>
          <w:b/>
          <w:i/>
          <w:sz w:val="24"/>
        </w:rPr>
      </w:pPr>
    </w:p>
    <w:p w14:paraId="01C9B40A" w14:textId="77777777" w:rsidR="00A3238E" w:rsidRDefault="00A3238E" w:rsidP="007226FB">
      <w:pPr>
        <w:spacing w:after="0" w:line="240" w:lineRule="auto"/>
        <w:ind w:right="2160"/>
        <w:rPr>
          <w:rFonts w:ascii="BentonSans Black" w:hAnsi="BentonSans Black"/>
          <w:b/>
          <w:i/>
          <w:sz w:val="24"/>
        </w:rPr>
      </w:pPr>
    </w:p>
    <w:p w14:paraId="41054F62" w14:textId="5DBEED56" w:rsidR="00E90F3A" w:rsidRPr="00A3238E" w:rsidRDefault="00E90F3A" w:rsidP="007226FB">
      <w:pPr>
        <w:spacing w:after="0" w:line="240" w:lineRule="auto"/>
        <w:ind w:right="2160"/>
        <w:rPr>
          <w:rFonts w:ascii="BentonSans" w:hAnsi="BentonSans"/>
          <w:sz w:val="20"/>
        </w:rPr>
      </w:pPr>
      <w:r>
        <w:rPr>
          <w:rFonts w:ascii="BentonSans Black" w:hAnsi="BentonSans Black"/>
          <w:b/>
          <w:i/>
          <w:sz w:val="24"/>
        </w:rPr>
        <w:br/>
      </w:r>
      <w:r>
        <w:rPr>
          <w:rFonts w:ascii="BentonSans Black" w:hAnsi="BentonSans Black"/>
          <w:b/>
          <w:i/>
          <w:sz w:val="24"/>
        </w:rPr>
        <w:br/>
      </w:r>
      <w:r>
        <w:rPr>
          <w:rFonts w:ascii="BentonSans Black" w:hAnsi="BentonSans Black"/>
          <w:b/>
          <w:i/>
          <w:sz w:val="24"/>
        </w:rPr>
        <w:br/>
      </w:r>
    </w:p>
    <w:p w14:paraId="03C340F1" w14:textId="77777777" w:rsidR="00A458E0" w:rsidRPr="00E90F3A" w:rsidRDefault="00E90F3A" w:rsidP="007226FB">
      <w:pPr>
        <w:spacing w:after="0" w:line="240" w:lineRule="auto"/>
        <w:ind w:right="2160"/>
        <w:contextualSpacing/>
        <w:rPr>
          <w:rFonts w:ascii="BentonSans Black" w:hAnsi="BentonSans Black"/>
          <w:b/>
          <w:i/>
          <w:sz w:val="36"/>
        </w:rPr>
      </w:pPr>
      <w:r>
        <w:rPr>
          <w:rFonts w:ascii="BentonSans Black" w:hAnsi="BentonSans Black"/>
          <w:b/>
          <w:i/>
          <w:sz w:val="24"/>
        </w:rPr>
        <w:br/>
      </w:r>
      <w:r w:rsidRPr="00E90F3A">
        <w:rPr>
          <w:rFonts w:ascii="BentonSans Black" w:hAnsi="BentonSans Black"/>
          <w:b/>
          <w:i/>
          <w:sz w:val="36"/>
        </w:rPr>
        <w:t>Quest</w:t>
      </w:r>
      <w:r w:rsidR="007226FB" w:rsidRPr="00E90F3A">
        <w:rPr>
          <w:rFonts w:ascii="BentonSans Black" w:hAnsi="BentonSans Black"/>
          <w:b/>
          <w:i/>
          <w:sz w:val="36"/>
        </w:rPr>
        <w:t xml:space="preserve">ions </w:t>
      </w:r>
    </w:p>
    <w:p w14:paraId="749F04F6" w14:textId="665B804F" w:rsidR="007226FB" w:rsidRPr="00E90F3A" w:rsidRDefault="007226FB" w:rsidP="007226FB">
      <w:pPr>
        <w:spacing w:after="0" w:line="240" w:lineRule="auto"/>
        <w:ind w:right="2160"/>
        <w:rPr>
          <w:rFonts w:ascii="BentonSans" w:hAnsi="BentonSans"/>
          <w:sz w:val="24"/>
        </w:rPr>
      </w:pPr>
      <w:r w:rsidRPr="00E90F3A">
        <w:rPr>
          <w:rFonts w:ascii="BentonSans" w:hAnsi="BentonSans"/>
          <w:sz w:val="24"/>
        </w:rPr>
        <w:t xml:space="preserve">Contact </w:t>
      </w:r>
      <w:r w:rsidR="0051640F">
        <w:rPr>
          <w:rFonts w:ascii="BentonSans" w:hAnsi="BentonSans"/>
          <w:sz w:val="24"/>
        </w:rPr>
        <w:t xml:space="preserve">the </w:t>
      </w:r>
      <w:r w:rsidR="00627CF7">
        <w:rPr>
          <w:rFonts w:ascii="BentonSans" w:hAnsi="BentonSans"/>
          <w:sz w:val="24"/>
        </w:rPr>
        <w:t>Office of Academic Af</w:t>
      </w:r>
      <w:r w:rsidR="00B37CAE">
        <w:rPr>
          <w:rFonts w:ascii="BentonSans" w:hAnsi="BentonSans"/>
          <w:sz w:val="24"/>
        </w:rPr>
        <w:t>fairs</w:t>
      </w:r>
      <w:r w:rsidR="00627CF7">
        <w:rPr>
          <w:rFonts w:ascii="BentonSans" w:hAnsi="BentonSans"/>
          <w:sz w:val="24"/>
        </w:rPr>
        <w:t xml:space="preserve"> </w:t>
      </w:r>
      <w:r w:rsidRPr="00E90F3A">
        <w:rPr>
          <w:rFonts w:ascii="BentonSans" w:hAnsi="BentonSans"/>
          <w:sz w:val="24"/>
        </w:rPr>
        <w:t>(</w:t>
      </w:r>
      <w:hyperlink r:id="rId8" w:history="1">
        <w:r w:rsidR="00627CF7" w:rsidRPr="00B37CAE">
          <w:rPr>
            <w:rStyle w:val="Hyperlink"/>
            <w:rFonts w:ascii="BentonSans" w:hAnsi="BentonSans"/>
            <w:color w:val="0000FF"/>
            <w:sz w:val="24"/>
          </w:rPr>
          <w:t>oaa@iupui.edu</w:t>
        </w:r>
      </w:hyperlink>
      <w:r w:rsidR="00627CF7">
        <w:rPr>
          <w:rFonts w:ascii="BentonSans" w:hAnsi="BentonSans"/>
          <w:sz w:val="24"/>
        </w:rPr>
        <w:t xml:space="preserve"> or 317-274-4500</w:t>
      </w:r>
      <w:r w:rsidRPr="00E90F3A">
        <w:rPr>
          <w:rFonts w:ascii="BentonSans" w:hAnsi="BentonSans"/>
          <w:sz w:val="24"/>
        </w:rPr>
        <w:t>).</w:t>
      </w:r>
    </w:p>
    <w:p w14:paraId="138E400A" w14:textId="77777777" w:rsidR="00A458E0" w:rsidRPr="00E90F3A" w:rsidRDefault="00A458E0" w:rsidP="007226FB">
      <w:pPr>
        <w:spacing w:after="0" w:line="240" w:lineRule="auto"/>
        <w:ind w:right="2160"/>
        <w:rPr>
          <w:rFonts w:ascii="BentonSans" w:hAnsi="BentonSans"/>
          <w:sz w:val="28"/>
        </w:rPr>
      </w:pPr>
    </w:p>
    <w:p w14:paraId="533B7E0C" w14:textId="77777777" w:rsidR="00A458E0" w:rsidRPr="00E90F3A" w:rsidRDefault="00A458E0" w:rsidP="00A66B6D">
      <w:pPr>
        <w:spacing w:after="0" w:line="240" w:lineRule="auto"/>
        <w:ind w:right="2160"/>
        <w:contextualSpacing/>
        <w:rPr>
          <w:rFonts w:ascii="BentonSans Black" w:hAnsi="BentonSans Black"/>
          <w:b/>
          <w:i/>
          <w:sz w:val="36"/>
        </w:rPr>
      </w:pPr>
      <w:r w:rsidRPr="00E90F3A">
        <w:rPr>
          <w:rFonts w:ascii="BentonSans Black" w:hAnsi="BentonSans Black"/>
          <w:b/>
          <w:i/>
          <w:sz w:val="36"/>
        </w:rPr>
        <w:t>Nomination Deadline</w:t>
      </w:r>
    </w:p>
    <w:p w14:paraId="2C5F77F7" w14:textId="52C4260E" w:rsidR="00A458E0" w:rsidRPr="00E90F3A" w:rsidRDefault="00A458E0" w:rsidP="00E90F3A">
      <w:pPr>
        <w:tabs>
          <w:tab w:val="left" w:pos="10260"/>
        </w:tabs>
        <w:spacing w:line="240" w:lineRule="auto"/>
        <w:ind w:right="540"/>
        <w:rPr>
          <w:rFonts w:ascii="BentonSans" w:hAnsi="BentonSans"/>
        </w:rPr>
      </w:pPr>
      <w:r w:rsidRPr="00E90F3A">
        <w:rPr>
          <w:rFonts w:ascii="BentonSans" w:hAnsi="BentonSans"/>
          <w:sz w:val="24"/>
        </w:rPr>
        <w:t xml:space="preserve">Nominations must be submitted online no later than </w:t>
      </w:r>
      <w:r w:rsidR="00FF4A13">
        <w:rPr>
          <w:rFonts w:ascii="BentonSans" w:hAnsi="BentonSans"/>
          <w:b/>
          <w:i/>
          <w:color w:val="A90533"/>
          <w:sz w:val="24"/>
        </w:rPr>
        <w:t xml:space="preserve">midnight on </w:t>
      </w:r>
      <w:r w:rsidR="00FB1C8E">
        <w:rPr>
          <w:rFonts w:ascii="BentonSans" w:hAnsi="BentonSans"/>
          <w:b/>
          <w:i/>
          <w:color w:val="A90533"/>
          <w:sz w:val="24"/>
        </w:rPr>
        <w:t>Monday</w:t>
      </w:r>
      <w:r w:rsidR="00FF4A13">
        <w:rPr>
          <w:rFonts w:ascii="BentonSans" w:hAnsi="BentonSans"/>
          <w:b/>
          <w:i/>
          <w:color w:val="A90533"/>
          <w:sz w:val="24"/>
        </w:rPr>
        <w:t xml:space="preserve">, January </w:t>
      </w:r>
      <w:r w:rsidR="00FB1C8E">
        <w:rPr>
          <w:rFonts w:ascii="BentonSans" w:hAnsi="BentonSans"/>
          <w:b/>
          <w:i/>
          <w:color w:val="A90533"/>
          <w:sz w:val="24"/>
        </w:rPr>
        <w:t>15</w:t>
      </w:r>
      <w:r w:rsidR="00FF4A13">
        <w:rPr>
          <w:rFonts w:ascii="BentonSans" w:hAnsi="BentonSans"/>
          <w:b/>
          <w:i/>
          <w:color w:val="A90533"/>
          <w:sz w:val="24"/>
        </w:rPr>
        <w:t>, 202</w:t>
      </w:r>
      <w:r w:rsidR="00FB1C8E">
        <w:rPr>
          <w:rFonts w:ascii="BentonSans" w:hAnsi="BentonSans"/>
          <w:b/>
          <w:i/>
          <w:color w:val="A90533"/>
          <w:sz w:val="24"/>
        </w:rPr>
        <w:t>4</w:t>
      </w:r>
      <w:r w:rsidRPr="00E90F3A">
        <w:rPr>
          <w:rFonts w:ascii="BentonSans" w:hAnsi="BentonSans"/>
          <w:b/>
          <w:i/>
          <w:color w:val="A90533"/>
          <w:sz w:val="24"/>
        </w:rPr>
        <w:t>.</w:t>
      </w:r>
    </w:p>
    <w:sectPr w:rsidR="00A458E0" w:rsidRPr="00E90F3A" w:rsidSect="00BA6BB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C7C66" w14:textId="77777777" w:rsidR="007D06D0" w:rsidRDefault="007D06D0" w:rsidP="007D06D0">
      <w:pPr>
        <w:spacing w:after="0" w:line="240" w:lineRule="auto"/>
      </w:pPr>
      <w:r>
        <w:separator/>
      </w:r>
    </w:p>
  </w:endnote>
  <w:endnote w:type="continuationSeparator" w:id="0">
    <w:p w14:paraId="409127B8"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503000000020004"/>
    <w:charset w:val="00"/>
    <w:family w:val="modern"/>
    <w:notTrueType/>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9FDE5" w14:textId="77777777" w:rsidR="007D06D0" w:rsidRDefault="007D06D0" w:rsidP="007D06D0">
      <w:pPr>
        <w:spacing w:after="0" w:line="240" w:lineRule="auto"/>
      </w:pPr>
      <w:r>
        <w:separator/>
      </w:r>
    </w:p>
  </w:footnote>
  <w:footnote w:type="continuationSeparator" w:id="0">
    <w:p w14:paraId="5868606E"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1B1F" w14:textId="77777777" w:rsidR="007D06D0" w:rsidRPr="000D4D2C" w:rsidRDefault="00FB1C8E" w:rsidP="000D4D2C">
    <w:pPr>
      <w:pStyle w:val="Header"/>
    </w:pPr>
    <w:r>
      <w:rPr>
        <w:noProof/>
      </w:rPr>
      <w:pict w14:anchorId="007FC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2B7"/>
    <w:multiLevelType w:val="hybridMultilevel"/>
    <w:tmpl w:val="4C6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E0089"/>
    <w:multiLevelType w:val="hybridMultilevel"/>
    <w:tmpl w:val="7C6CA374"/>
    <w:lvl w:ilvl="0" w:tplc="16AE9724">
      <w:start w:val="1"/>
      <w:numFmt w:val="bullet"/>
      <w:lvlText w:val="•"/>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20C3C">
      <w:start w:val="1"/>
      <w:numFmt w:val="bullet"/>
      <w:lvlText w:val="o"/>
      <w:lvlJc w:val="left"/>
      <w:pPr>
        <w:ind w:left="15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2982F14">
      <w:start w:val="1"/>
      <w:numFmt w:val="bullet"/>
      <w:lvlText w:val="▪"/>
      <w:lvlJc w:val="left"/>
      <w:pPr>
        <w:ind w:left="2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50020D8">
      <w:start w:val="1"/>
      <w:numFmt w:val="bullet"/>
      <w:lvlText w:val="•"/>
      <w:lvlJc w:val="left"/>
      <w:pPr>
        <w:ind w:left="2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45A456C">
      <w:start w:val="1"/>
      <w:numFmt w:val="bullet"/>
      <w:lvlText w:val="o"/>
      <w:lvlJc w:val="left"/>
      <w:pPr>
        <w:ind w:left="36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126883E">
      <w:start w:val="1"/>
      <w:numFmt w:val="bullet"/>
      <w:lvlText w:val="▪"/>
      <w:lvlJc w:val="left"/>
      <w:pPr>
        <w:ind w:left="44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126FB0A">
      <w:start w:val="1"/>
      <w:numFmt w:val="bullet"/>
      <w:lvlText w:val="•"/>
      <w:lvlJc w:val="left"/>
      <w:pPr>
        <w:ind w:left="51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43CA498">
      <w:start w:val="1"/>
      <w:numFmt w:val="bullet"/>
      <w:lvlText w:val="o"/>
      <w:lvlJc w:val="left"/>
      <w:pPr>
        <w:ind w:left="58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F22FE34">
      <w:start w:val="1"/>
      <w:numFmt w:val="bullet"/>
      <w:lvlText w:val="▪"/>
      <w:lvlJc w:val="left"/>
      <w:pPr>
        <w:ind w:left="65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
  </w:num>
  <w:num w:numId="5">
    <w:abstractNumId w:val="3"/>
  </w:num>
  <w:num w:numId="6">
    <w:abstractNumId w:val="0"/>
  </w:num>
  <w:num w:numId="7">
    <w:abstractNumId w:val="10"/>
  </w:num>
  <w:num w:numId="8">
    <w:abstractNumId w:val="6"/>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67993"/>
    <w:rsid w:val="000D4D2C"/>
    <w:rsid w:val="001127CD"/>
    <w:rsid w:val="001408C8"/>
    <w:rsid w:val="00284129"/>
    <w:rsid w:val="002955D2"/>
    <w:rsid w:val="003365EF"/>
    <w:rsid w:val="00356C5E"/>
    <w:rsid w:val="003B3637"/>
    <w:rsid w:val="003C4612"/>
    <w:rsid w:val="003E2595"/>
    <w:rsid w:val="0044132D"/>
    <w:rsid w:val="00445BEA"/>
    <w:rsid w:val="004469B5"/>
    <w:rsid w:val="004D3F32"/>
    <w:rsid w:val="0051640F"/>
    <w:rsid w:val="00523F14"/>
    <w:rsid w:val="00562724"/>
    <w:rsid w:val="00591106"/>
    <w:rsid w:val="0061541A"/>
    <w:rsid w:val="00627CF7"/>
    <w:rsid w:val="00692294"/>
    <w:rsid w:val="007226FB"/>
    <w:rsid w:val="007A567B"/>
    <w:rsid w:val="007D06D0"/>
    <w:rsid w:val="00854557"/>
    <w:rsid w:val="00863D16"/>
    <w:rsid w:val="00864488"/>
    <w:rsid w:val="008658DD"/>
    <w:rsid w:val="00867B31"/>
    <w:rsid w:val="0087717C"/>
    <w:rsid w:val="0089516B"/>
    <w:rsid w:val="008C301D"/>
    <w:rsid w:val="008D05BC"/>
    <w:rsid w:val="008F1102"/>
    <w:rsid w:val="00902230"/>
    <w:rsid w:val="00945E83"/>
    <w:rsid w:val="009E16EB"/>
    <w:rsid w:val="00A3238E"/>
    <w:rsid w:val="00A458E0"/>
    <w:rsid w:val="00A66B6D"/>
    <w:rsid w:val="00A72EC9"/>
    <w:rsid w:val="00B37CAE"/>
    <w:rsid w:val="00B70783"/>
    <w:rsid w:val="00B73168"/>
    <w:rsid w:val="00B733E3"/>
    <w:rsid w:val="00B83130"/>
    <w:rsid w:val="00BA6BB9"/>
    <w:rsid w:val="00C32A8B"/>
    <w:rsid w:val="00D30E22"/>
    <w:rsid w:val="00D46084"/>
    <w:rsid w:val="00DD5153"/>
    <w:rsid w:val="00E90F3A"/>
    <w:rsid w:val="00EA7DDD"/>
    <w:rsid w:val="00F32B2F"/>
    <w:rsid w:val="00F60D5B"/>
    <w:rsid w:val="00FA7C87"/>
    <w:rsid w:val="00FB1C8E"/>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934E5D4"/>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E9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iupui.edu"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Byn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Beckner, Chad Allen</cp:lastModifiedBy>
  <cp:revision>11</cp:revision>
  <cp:lastPrinted>2019-10-08T18:09:00Z</cp:lastPrinted>
  <dcterms:created xsi:type="dcterms:W3CDTF">2021-08-09T18:53:00Z</dcterms:created>
  <dcterms:modified xsi:type="dcterms:W3CDTF">2023-10-16T18:33:00Z</dcterms:modified>
</cp:coreProperties>
</file>