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left="120"/>
      </w:pPr>
      <w:r>
        <w:rPr/>
        <w:t>Vote</w:t>
      </w:r>
      <w:r>
        <w:rPr>
          <w:spacing w:val="-3"/>
        </w:rPr>
        <w:t> </w:t>
      </w:r>
      <w:r>
        <w:rPr/>
        <w:t>Passed (April</w:t>
      </w:r>
      <w:r>
        <w:rPr>
          <w:spacing w:val="-4"/>
        </w:rPr>
        <w:t> </w:t>
      </w:r>
      <w:r>
        <w:rPr/>
        <w:t>29,</w:t>
      </w:r>
      <w:r>
        <w:rPr>
          <w:spacing w:val="-1"/>
        </w:rPr>
        <w:t> </w:t>
      </w:r>
      <w:r>
        <w:rPr/>
        <w:t>2022 Full</w:t>
      </w:r>
      <w:r>
        <w:rPr>
          <w:spacing w:val="-2"/>
        </w:rPr>
        <w:t> </w:t>
      </w:r>
      <w:r>
        <w:rPr/>
        <w:t>Kelley</w:t>
      </w:r>
      <w:r>
        <w:rPr>
          <w:spacing w:val="-2"/>
        </w:rPr>
        <w:t> </w:t>
      </w:r>
      <w:r>
        <w:rPr/>
        <w:t>Faculty</w:t>
      </w:r>
      <w:r>
        <w:rPr>
          <w:spacing w:val="-1"/>
        </w:rPr>
        <w:t> </w:t>
      </w:r>
      <w:r>
        <w:rPr>
          <w:spacing w:val="-4"/>
        </w:rPr>
        <w:t>Vote)</w:t>
      </w:r>
    </w:p>
    <w:p>
      <w:pPr>
        <w:pStyle w:val="BodyText"/>
        <w:spacing w:before="25"/>
        <w:rPr>
          <w:sz w:val="20"/>
        </w:rPr>
      </w:pPr>
      <w:r>
        <w:rPr/>
        <w:drawing>
          <wp:anchor distT="0" distB="0" distL="0" distR="0" allowOverlap="1" layoutInCell="1" locked="0" behindDoc="1" simplePos="0" relativeHeight="487587840">
            <wp:simplePos x="0" y="0"/>
            <wp:positionH relativeFrom="page">
              <wp:posOffset>914400</wp:posOffset>
            </wp:positionH>
            <wp:positionV relativeFrom="paragraph">
              <wp:posOffset>186671</wp:posOffset>
            </wp:positionV>
            <wp:extent cx="5933001" cy="638936"/>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933001" cy="638936"/>
                    </a:xfrm>
                    <a:prstGeom prst="rect">
                      <a:avLst/>
                    </a:prstGeom>
                  </pic:spPr>
                </pic:pic>
              </a:graphicData>
            </a:graphic>
          </wp:anchor>
        </w:drawing>
      </w:r>
    </w:p>
    <w:p>
      <w:pPr>
        <w:pStyle w:val="BodyText"/>
      </w:pPr>
    </w:p>
    <w:p>
      <w:pPr>
        <w:pStyle w:val="BodyText"/>
        <w:spacing w:before="12"/>
      </w:pPr>
    </w:p>
    <w:p>
      <w:pPr>
        <w:pStyle w:val="Heading1"/>
        <w:ind w:left="3763" w:right="191" w:hanging="2506"/>
      </w:pPr>
      <w:r>
        <w:rPr/>
        <w:t>Guidance</w:t>
      </w:r>
      <w:r>
        <w:rPr>
          <w:spacing w:val="-6"/>
        </w:rPr>
        <w:t> </w:t>
      </w:r>
      <w:r>
        <w:rPr/>
        <w:t>Statement</w:t>
      </w:r>
      <w:r>
        <w:rPr>
          <w:spacing w:val="-3"/>
        </w:rPr>
        <w:t> </w:t>
      </w:r>
      <w:r>
        <w:rPr/>
        <w:t>on</w:t>
      </w:r>
      <w:r>
        <w:rPr>
          <w:spacing w:val="-7"/>
        </w:rPr>
        <w:t> </w:t>
      </w:r>
      <w:r>
        <w:rPr/>
        <w:t>the</w:t>
      </w:r>
      <w:r>
        <w:rPr>
          <w:spacing w:val="-3"/>
        </w:rPr>
        <w:t> </w:t>
      </w:r>
      <w:r>
        <w:rPr/>
        <w:t>Clinical</w:t>
      </w:r>
      <w:r>
        <w:rPr>
          <w:spacing w:val="-2"/>
        </w:rPr>
        <w:t> </w:t>
      </w:r>
      <w:r>
        <w:rPr/>
        <w:t>Rank</w:t>
      </w:r>
      <w:r>
        <w:rPr>
          <w:spacing w:val="-5"/>
        </w:rPr>
        <w:t> </w:t>
      </w:r>
      <w:r>
        <w:rPr/>
        <w:t>in</w:t>
      </w:r>
      <w:r>
        <w:rPr>
          <w:spacing w:val="-4"/>
        </w:rPr>
        <w:t> </w:t>
      </w:r>
      <w:r>
        <w:rPr/>
        <w:t>the</w:t>
      </w:r>
      <w:r>
        <w:rPr>
          <w:spacing w:val="-6"/>
        </w:rPr>
        <w:t> </w:t>
      </w:r>
      <w:r>
        <w:rPr/>
        <w:t>Kelley</w:t>
      </w:r>
      <w:r>
        <w:rPr>
          <w:spacing w:val="-3"/>
        </w:rPr>
        <w:t> </w:t>
      </w:r>
      <w:r>
        <w:rPr/>
        <w:t>School</w:t>
      </w:r>
      <w:r>
        <w:rPr>
          <w:spacing w:val="-2"/>
        </w:rPr>
        <w:t> </w:t>
      </w:r>
      <w:r>
        <w:rPr/>
        <w:t>of</w:t>
      </w:r>
      <w:r>
        <w:rPr>
          <w:spacing w:val="-3"/>
        </w:rPr>
        <w:t> </w:t>
      </w:r>
      <w:r>
        <w:rPr/>
        <w:t>Business (Indianapolis Campus)</w:t>
      </w:r>
    </w:p>
    <w:p>
      <w:pPr>
        <w:pStyle w:val="BodyText"/>
        <w:rPr>
          <w:b/>
        </w:rPr>
      </w:pPr>
    </w:p>
    <w:p>
      <w:pPr>
        <w:pStyle w:val="BodyText"/>
        <w:ind w:left="119" w:right="118" w:firstLine="720"/>
      </w:pPr>
      <w:r>
        <w:rPr/>
        <w:t>The Kelley School faculty consists of faculty who hold tenure-track, clinical, and lecturer appointments,</w:t>
      </w:r>
      <w:r>
        <w:rPr>
          <w:spacing w:val="-1"/>
        </w:rPr>
        <w:t> </w:t>
      </w:r>
      <w:r>
        <w:rPr/>
        <w:t>and all</w:t>
      </w:r>
      <w:r>
        <w:rPr>
          <w:spacing w:val="-1"/>
        </w:rPr>
        <w:t> </w:t>
      </w:r>
      <w:r>
        <w:rPr/>
        <w:t>faculty</w:t>
      </w:r>
      <w:r>
        <w:rPr>
          <w:spacing w:val="-2"/>
        </w:rPr>
        <w:t> </w:t>
      </w:r>
      <w:r>
        <w:rPr/>
        <w:t>are</w:t>
      </w:r>
      <w:r>
        <w:rPr>
          <w:spacing w:val="-3"/>
        </w:rPr>
        <w:t> </w:t>
      </w:r>
      <w:r>
        <w:rPr/>
        <w:t>critical</w:t>
      </w:r>
      <w:r>
        <w:rPr>
          <w:spacing w:val="-4"/>
        </w:rPr>
        <w:t> </w:t>
      </w:r>
      <w:r>
        <w:rPr/>
        <w:t>to</w:t>
      </w:r>
      <w:r>
        <w:rPr>
          <w:spacing w:val="-3"/>
        </w:rPr>
        <w:t> </w:t>
      </w:r>
      <w:r>
        <w:rPr/>
        <w:t>the</w:t>
      </w:r>
      <w:r>
        <w:rPr>
          <w:spacing w:val="-1"/>
        </w:rPr>
        <w:t> </w:t>
      </w:r>
      <w:r>
        <w:rPr/>
        <w:t>Kelley</w:t>
      </w:r>
      <w:r>
        <w:rPr>
          <w:spacing w:val="-2"/>
        </w:rPr>
        <w:t> </w:t>
      </w:r>
      <w:r>
        <w:rPr/>
        <w:t>mission.</w:t>
      </w:r>
      <w:r>
        <w:rPr>
          <w:spacing w:val="-5"/>
        </w:rPr>
        <w:t> </w:t>
      </w:r>
      <w:r>
        <w:rPr/>
        <w:t>The</w:t>
      </w:r>
      <w:r>
        <w:rPr>
          <w:spacing w:val="-1"/>
        </w:rPr>
        <w:t> </w:t>
      </w:r>
      <w:r>
        <w:rPr/>
        <w:t>Kelley</w:t>
      </w:r>
      <w:r>
        <w:rPr>
          <w:spacing w:val="-5"/>
        </w:rPr>
        <w:t> </w:t>
      </w:r>
      <w:r>
        <w:rPr/>
        <w:t>faculty</w:t>
      </w:r>
      <w:r>
        <w:rPr>
          <w:spacing w:val="-5"/>
        </w:rPr>
        <w:t> </w:t>
      </w:r>
      <w:r>
        <w:rPr/>
        <w:t>have</w:t>
      </w:r>
      <w:r>
        <w:rPr>
          <w:spacing w:val="-1"/>
        </w:rPr>
        <w:t> </w:t>
      </w:r>
      <w:r>
        <w:rPr/>
        <w:t>interests</w:t>
      </w:r>
      <w:r>
        <w:rPr>
          <w:spacing w:val="-4"/>
        </w:rPr>
        <w:t> </w:t>
      </w:r>
      <w:r>
        <w:rPr/>
        <w:t>in teaching, academic scholarship, and service. The portfolio of faculty interests and skills collectively contribute to the success of the Kelley Indianapolis mission.</w:t>
      </w:r>
    </w:p>
    <w:p>
      <w:pPr>
        <w:pStyle w:val="BodyText"/>
        <w:spacing w:before="1"/>
      </w:pPr>
    </w:p>
    <w:p>
      <w:pPr>
        <w:pStyle w:val="BodyText"/>
        <w:ind w:left="119" w:right="182" w:firstLine="720"/>
      </w:pPr>
      <w:r>
        <w:rPr/>
        <w:t>The Kelley School has academic appointments at the Assistant Clinical Professor, Associate Clinical Professor, and Clinical Professor ranks (hereafter, Clinical faculty). This document refers to many IU and IUPUI polices which provide guidance for Clinical faculty on roles and promotion procedures. Appendix 1 lists the IU and IUPUI policies referenced in this document.</w:t>
      </w:r>
      <w:r>
        <w:rPr>
          <w:spacing w:val="-5"/>
        </w:rPr>
        <w:t> </w:t>
      </w:r>
      <w:r>
        <w:rPr/>
        <w:t>The</w:t>
      </w:r>
      <w:r>
        <w:rPr>
          <w:spacing w:val="-3"/>
        </w:rPr>
        <w:t> </w:t>
      </w:r>
      <w:r>
        <w:rPr/>
        <w:t>Kelley</w:t>
      </w:r>
      <w:r>
        <w:rPr>
          <w:spacing w:val="-5"/>
        </w:rPr>
        <w:t> </w:t>
      </w:r>
      <w:r>
        <w:rPr/>
        <w:t>Policy</w:t>
      </w:r>
      <w:r>
        <w:rPr>
          <w:spacing w:val="-2"/>
        </w:rPr>
        <w:t> </w:t>
      </w:r>
      <w:r>
        <w:rPr/>
        <w:t>Statement provides</w:t>
      </w:r>
      <w:r>
        <w:rPr>
          <w:spacing w:val="-7"/>
        </w:rPr>
        <w:t> </w:t>
      </w:r>
      <w:r>
        <w:rPr/>
        <w:t>greater</w:t>
      </w:r>
      <w:r>
        <w:rPr>
          <w:spacing w:val="-4"/>
        </w:rPr>
        <w:t> </w:t>
      </w:r>
      <w:r>
        <w:rPr/>
        <w:t>interpretation,</w:t>
      </w:r>
      <w:r>
        <w:rPr>
          <w:spacing w:val="-4"/>
        </w:rPr>
        <w:t> </w:t>
      </w:r>
      <w:r>
        <w:rPr/>
        <w:t>but is</w:t>
      </w:r>
      <w:r>
        <w:rPr>
          <w:spacing w:val="-4"/>
        </w:rPr>
        <w:t> </w:t>
      </w:r>
      <w:r>
        <w:rPr/>
        <w:t>subordinate</w:t>
      </w:r>
      <w:r>
        <w:rPr>
          <w:spacing w:val="-3"/>
        </w:rPr>
        <w:t> </w:t>
      </w:r>
      <w:r>
        <w:rPr/>
        <w:t>to</w:t>
      </w:r>
      <w:r>
        <w:rPr>
          <w:spacing w:val="-3"/>
        </w:rPr>
        <w:t> </w:t>
      </w:r>
      <w:r>
        <w:rPr/>
        <w:t>the IU and IUPUI policies and may lag the IU and IUPUI policies. The IUPUI policies are the primary documents.</w:t>
      </w:r>
      <w:hyperlink w:history="true" w:anchor="_bookmark0">
        <w:r>
          <w:rPr>
            <w:vertAlign w:val="superscript"/>
          </w:rPr>
          <w:t>1</w:t>
        </w:r>
      </w:hyperlink>
      <w:r>
        <w:rPr>
          <w:vertAlign w:val="baseline"/>
        </w:rPr>
        <w:t> Such guidelines frequently are updated, and Clinical faculty should therefore make sure that they have the most current versions of the documents.</w:t>
      </w:r>
    </w:p>
    <w:p>
      <w:pPr>
        <w:spacing w:line="240" w:lineRule="auto" w:before="292"/>
        <w:ind w:left="120" w:right="0" w:firstLine="720"/>
        <w:jc w:val="left"/>
        <w:rPr>
          <w:sz w:val="24"/>
        </w:rPr>
      </w:pPr>
      <w:r>
        <w:rPr>
          <w:sz w:val="24"/>
        </w:rPr>
        <w:t>“The prefix “Clinical” is used for appointees whose primary duties are teaching students and</w:t>
      </w:r>
      <w:r>
        <w:rPr>
          <w:spacing w:val="-4"/>
          <w:sz w:val="24"/>
        </w:rPr>
        <w:t> </w:t>
      </w:r>
      <w:r>
        <w:rPr>
          <w:sz w:val="24"/>
        </w:rPr>
        <w:t>residents/fellows</w:t>
      </w:r>
      <w:r>
        <w:rPr>
          <w:spacing w:val="-5"/>
          <w:sz w:val="24"/>
        </w:rPr>
        <w:t> </w:t>
      </w:r>
      <w:r>
        <w:rPr>
          <w:sz w:val="24"/>
        </w:rPr>
        <w:t>and</w:t>
      </w:r>
      <w:r>
        <w:rPr>
          <w:spacing w:val="-1"/>
          <w:sz w:val="24"/>
        </w:rPr>
        <w:t> </w:t>
      </w:r>
      <w:r>
        <w:rPr>
          <w:sz w:val="24"/>
        </w:rPr>
        <w:t>providing</w:t>
      </w:r>
      <w:r>
        <w:rPr>
          <w:spacing w:val="-3"/>
          <w:sz w:val="24"/>
        </w:rPr>
        <w:t> </w:t>
      </w:r>
      <w:r>
        <w:rPr>
          <w:sz w:val="24"/>
        </w:rPr>
        <w:t>professional</w:t>
      </w:r>
      <w:r>
        <w:rPr>
          <w:spacing w:val="-7"/>
          <w:sz w:val="24"/>
        </w:rPr>
        <w:t> </w:t>
      </w:r>
      <w:r>
        <w:rPr>
          <w:sz w:val="24"/>
        </w:rPr>
        <w:t>service</w:t>
      </w:r>
      <w:r>
        <w:rPr>
          <w:spacing w:val="-2"/>
          <w:sz w:val="24"/>
        </w:rPr>
        <w:t> </w:t>
      </w:r>
      <w:r>
        <w:rPr>
          <w:sz w:val="24"/>
        </w:rPr>
        <w:t>in</w:t>
      </w:r>
      <w:r>
        <w:rPr>
          <w:spacing w:val="-4"/>
          <w:sz w:val="24"/>
        </w:rPr>
        <w:t> </w:t>
      </w:r>
      <w:r>
        <w:rPr>
          <w:sz w:val="24"/>
        </w:rPr>
        <w:t>the</w:t>
      </w:r>
      <w:r>
        <w:rPr>
          <w:spacing w:val="-2"/>
          <w:sz w:val="24"/>
        </w:rPr>
        <w:t> </w:t>
      </w:r>
      <w:r>
        <w:rPr>
          <w:sz w:val="24"/>
        </w:rPr>
        <w:t>clinical</w:t>
      </w:r>
      <w:r>
        <w:rPr>
          <w:spacing w:val="-5"/>
          <w:sz w:val="24"/>
        </w:rPr>
        <w:t> </w:t>
      </w:r>
      <w:r>
        <w:rPr>
          <w:sz w:val="24"/>
        </w:rPr>
        <w:t>setting.”</w:t>
      </w:r>
      <w:r>
        <w:rPr>
          <w:spacing w:val="-2"/>
          <w:sz w:val="24"/>
        </w:rPr>
        <w:t> </w:t>
      </w:r>
      <w:r>
        <w:rPr>
          <w:sz w:val="24"/>
        </w:rPr>
        <w:t>(</w:t>
      </w:r>
      <w:r>
        <w:rPr>
          <w:i/>
          <w:sz w:val="24"/>
        </w:rPr>
        <w:t>IU</w:t>
      </w:r>
      <w:r>
        <w:rPr>
          <w:i/>
          <w:spacing w:val="-3"/>
          <w:sz w:val="24"/>
        </w:rPr>
        <w:t> </w:t>
      </w:r>
      <w:r>
        <w:rPr>
          <w:i/>
          <w:sz w:val="24"/>
        </w:rPr>
        <w:t>Policy</w:t>
      </w:r>
      <w:r>
        <w:rPr>
          <w:i/>
          <w:spacing w:val="-4"/>
          <w:sz w:val="24"/>
        </w:rPr>
        <w:t> </w:t>
      </w:r>
      <w:r>
        <w:rPr>
          <w:i/>
          <w:sz w:val="24"/>
        </w:rPr>
        <w:t>ACA-14,</w:t>
      </w:r>
      <w:r>
        <w:rPr>
          <w:i/>
          <w:sz w:val="24"/>
        </w:rPr>
        <w:t> Classification of Academic Appointments</w:t>
      </w:r>
      <w:r>
        <w:rPr>
          <w:sz w:val="24"/>
        </w:rPr>
        <w:t>)</w:t>
      </w:r>
      <w:r>
        <w:rPr>
          <w:sz w:val="24"/>
          <w:vertAlign w:val="superscript"/>
        </w:rPr>
        <w:t>.</w:t>
      </w:r>
    </w:p>
    <w:p>
      <w:pPr>
        <w:pStyle w:val="BodyText"/>
        <w:spacing w:before="1"/>
      </w:pPr>
    </w:p>
    <w:p>
      <w:pPr>
        <w:pStyle w:val="BodyText"/>
        <w:spacing w:before="1"/>
        <w:ind w:left="119" w:right="118" w:firstLine="720"/>
      </w:pPr>
      <w:r>
        <w:rPr/>
        <w:t>IU Policy ACA-18 outlines rules and procedures regarding the appointment, reappointment, and non-reappointment of Clinical faculty. Clinical faculty appointments and any reappointments are governed by those policies, by all other applicable Indiana University and IUPUI</w:t>
      </w:r>
      <w:r>
        <w:rPr>
          <w:spacing w:val="-3"/>
        </w:rPr>
        <w:t> </w:t>
      </w:r>
      <w:r>
        <w:rPr/>
        <w:t>Campus</w:t>
      </w:r>
      <w:r>
        <w:rPr>
          <w:spacing w:val="-4"/>
        </w:rPr>
        <w:t> </w:t>
      </w:r>
      <w:r>
        <w:rPr/>
        <w:t>policies</w:t>
      </w:r>
      <w:r>
        <w:rPr>
          <w:spacing w:val="-3"/>
        </w:rPr>
        <w:t> </w:t>
      </w:r>
      <w:r>
        <w:rPr/>
        <w:t>regarding</w:t>
      </w:r>
      <w:r>
        <w:rPr>
          <w:spacing w:val="-4"/>
        </w:rPr>
        <w:t> </w:t>
      </w:r>
      <w:r>
        <w:rPr/>
        <w:t>faculty</w:t>
      </w:r>
      <w:r>
        <w:rPr>
          <w:spacing w:val="-3"/>
        </w:rPr>
        <w:t> </w:t>
      </w:r>
      <w:r>
        <w:rPr/>
        <w:t>appointments</w:t>
      </w:r>
      <w:r>
        <w:rPr>
          <w:spacing w:val="-4"/>
        </w:rPr>
        <w:t> </w:t>
      </w:r>
      <w:r>
        <w:rPr/>
        <w:t>and</w:t>
      </w:r>
      <w:r>
        <w:rPr>
          <w:spacing w:val="-4"/>
        </w:rPr>
        <w:t> </w:t>
      </w:r>
      <w:r>
        <w:rPr/>
        <w:t>faculty</w:t>
      </w:r>
      <w:r>
        <w:rPr>
          <w:spacing w:val="-3"/>
        </w:rPr>
        <w:t> </w:t>
      </w:r>
      <w:r>
        <w:rPr/>
        <w:t>members’</w:t>
      </w:r>
      <w:r>
        <w:rPr>
          <w:spacing w:val="-2"/>
        </w:rPr>
        <w:t> </w:t>
      </w:r>
      <w:r>
        <w:rPr/>
        <w:t>conduct,</w:t>
      </w:r>
      <w:r>
        <w:rPr>
          <w:spacing w:val="-2"/>
        </w:rPr>
        <w:t> </w:t>
      </w:r>
      <w:r>
        <w:rPr/>
        <w:t>and</w:t>
      </w:r>
      <w:r>
        <w:rPr>
          <w:spacing w:val="-4"/>
        </w:rPr>
        <w:t> </w:t>
      </w:r>
      <w:r>
        <w:rPr/>
        <w:t>by</w:t>
      </w:r>
      <w:r>
        <w:rPr>
          <w:spacing w:val="-5"/>
        </w:rPr>
        <w:t> </w:t>
      </w:r>
      <w:r>
        <w:rPr/>
        <w:t>this Kelley School document.</w:t>
      </w:r>
    </w:p>
    <w:p>
      <w:pPr>
        <w:pStyle w:val="BodyText"/>
        <w:spacing w:before="291"/>
        <w:ind w:left="119" w:right="118" w:firstLine="720"/>
      </w:pPr>
      <w:r>
        <w:rPr/>
        <w:t>Business is an applied discipline. The Kelley School of Business strongly believes that Clinical faculty contribute to the learning environment in the School through teaching, service, scholarly</w:t>
      </w:r>
      <w:r>
        <w:rPr>
          <w:spacing w:val="-4"/>
        </w:rPr>
        <w:t> </w:t>
      </w:r>
      <w:r>
        <w:rPr/>
        <w:t>activity,</w:t>
      </w:r>
      <w:r>
        <w:rPr>
          <w:spacing w:val="-3"/>
        </w:rPr>
        <w:t> </w:t>
      </w:r>
      <w:r>
        <w:rPr/>
        <w:t>mentoring,</w:t>
      </w:r>
      <w:r>
        <w:rPr>
          <w:spacing w:val="-3"/>
        </w:rPr>
        <w:t> </w:t>
      </w:r>
      <w:r>
        <w:rPr/>
        <w:t>and</w:t>
      </w:r>
      <w:r>
        <w:rPr>
          <w:spacing w:val="-5"/>
        </w:rPr>
        <w:t> </w:t>
      </w:r>
      <w:r>
        <w:rPr/>
        <w:t>through</w:t>
      </w:r>
      <w:r>
        <w:rPr>
          <w:spacing w:val="-3"/>
        </w:rPr>
        <w:t> </w:t>
      </w:r>
      <w:r>
        <w:rPr/>
        <w:t>contacts</w:t>
      </w:r>
      <w:r>
        <w:rPr>
          <w:spacing w:val="-4"/>
        </w:rPr>
        <w:t> </w:t>
      </w:r>
      <w:r>
        <w:rPr/>
        <w:t>with</w:t>
      </w:r>
      <w:r>
        <w:rPr>
          <w:spacing w:val="-5"/>
        </w:rPr>
        <w:t> </w:t>
      </w:r>
      <w:r>
        <w:rPr/>
        <w:t>businesses,</w:t>
      </w:r>
      <w:r>
        <w:rPr>
          <w:spacing w:val="-6"/>
        </w:rPr>
        <w:t> </w:t>
      </w:r>
      <w:r>
        <w:rPr/>
        <w:t>governments,</w:t>
      </w:r>
      <w:r>
        <w:rPr>
          <w:spacing w:val="-6"/>
        </w:rPr>
        <w:t> </w:t>
      </w:r>
      <w:r>
        <w:rPr/>
        <w:t>professional societies, and other organizations.</w:t>
      </w:r>
    </w:p>
    <w:p>
      <w:pPr>
        <w:pStyle w:val="BodyText"/>
        <w:spacing w:before="20"/>
        <w:rPr>
          <w:sz w:val="2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183291</wp:posOffset>
                </wp:positionV>
                <wp:extent cx="1828800" cy="76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432438pt;width:144pt;height:.599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104"/>
        <w:ind w:left="120" w:right="2652" w:firstLine="0"/>
        <w:jc w:val="left"/>
        <w:rPr>
          <w:sz w:val="20"/>
        </w:rPr>
      </w:pPr>
      <w:bookmarkStart w:name="_bookmark0" w:id="1"/>
      <w:bookmarkEnd w:id="1"/>
      <w:r>
        <w:rPr/>
      </w:r>
      <w:r>
        <w:rPr>
          <w:sz w:val="20"/>
          <w:vertAlign w:val="superscript"/>
        </w:rPr>
        <w:t>1</w:t>
      </w:r>
      <w:r>
        <w:rPr>
          <w:spacing w:val="-5"/>
          <w:sz w:val="20"/>
          <w:vertAlign w:val="baseline"/>
        </w:rPr>
        <w:t> </w:t>
      </w:r>
      <w:r>
        <w:rPr>
          <w:sz w:val="20"/>
          <w:vertAlign w:val="baseline"/>
        </w:rPr>
        <w:t>The</w:t>
      </w:r>
      <w:r>
        <w:rPr>
          <w:spacing w:val="-5"/>
          <w:sz w:val="20"/>
          <w:vertAlign w:val="baseline"/>
        </w:rPr>
        <w:t> </w:t>
      </w:r>
      <w:r>
        <w:rPr>
          <w:sz w:val="20"/>
          <w:vertAlign w:val="baseline"/>
        </w:rPr>
        <w:t>Academic</w:t>
      </w:r>
      <w:r>
        <w:rPr>
          <w:spacing w:val="-4"/>
          <w:sz w:val="20"/>
          <w:vertAlign w:val="baseline"/>
        </w:rPr>
        <w:t> </w:t>
      </w:r>
      <w:r>
        <w:rPr>
          <w:sz w:val="20"/>
          <w:vertAlign w:val="baseline"/>
        </w:rPr>
        <w:t>Handbook</w:t>
      </w:r>
      <w:r>
        <w:rPr>
          <w:spacing w:val="-3"/>
          <w:sz w:val="20"/>
          <w:vertAlign w:val="baseline"/>
        </w:rPr>
        <w:t> </w:t>
      </w:r>
      <w:r>
        <w:rPr>
          <w:sz w:val="20"/>
          <w:vertAlign w:val="baseline"/>
        </w:rPr>
        <w:t>has</w:t>
      </w:r>
      <w:r>
        <w:rPr>
          <w:spacing w:val="-5"/>
          <w:sz w:val="20"/>
          <w:vertAlign w:val="baseline"/>
        </w:rPr>
        <w:t> </w:t>
      </w:r>
      <w:r>
        <w:rPr>
          <w:sz w:val="20"/>
          <w:vertAlign w:val="baseline"/>
        </w:rPr>
        <w:t>been</w:t>
      </w:r>
      <w:r>
        <w:rPr>
          <w:spacing w:val="-3"/>
          <w:sz w:val="20"/>
          <w:vertAlign w:val="baseline"/>
        </w:rPr>
        <w:t> </w:t>
      </w:r>
      <w:r>
        <w:rPr>
          <w:sz w:val="20"/>
          <w:vertAlign w:val="baseline"/>
        </w:rPr>
        <w:t>replaced</w:t>
      </w:r>
      <w:r>
        <w:rPr>
          <w:spacing w:val="-1"/>
          <w:sz w:val="20"/>
          <w:vertAlign w:val="baseline"/>
        </w:rPr>
        <w:t> </w:t>
      </w:r>
      <w:r>
        <w:rPr>
          <w:sz w:val="20"/>
          <w:vertAlign w:val="baseline"/>
        </w:rPr>
        <w:t>with</w:t>
      </w:r>
      <w:r>
        <w:rPr>
          <w:spacing w:val="-3"/>
          <w:sz w:val="20"/>
          <w:vertAlign w:val="baseline"/>
        </w:rPr>
        <w:t> </w:t>
      </w:r>
      <w:r>
        <w:rPr>
          <w:sz w:val="20"/>
          <w:vertAlign w:val="baseline"/>
        </w:rPr>
        <w:t>IU</w:t>
      </w:r>
      <w:r>
        <w:rPr>
          <w:spacing w:val="-5"/>
          <w:sz w:val="20"/>
          <w:vertAlign w:val="baseline"/>
        </w:rPr>
        <w:t> </w:t>
      </w:r>
      <w:r>
        <w:rPr>
          <w:sz w:val="20"/>
          <w:vertAlign w:val="baseline"/>
        </w:rPr>
        <w:t>Policies.</w:t>
      </w:r>
      <w:r>
        <w:rPr>
          <w:spacing w:val="37"/>
          <w:sz w:val="20"/>
          <w:vertAlign w:val="baseline"/>
        </w:rPr>
        <w:t> </w:t>
      </w:r>
      <w:hyperlink r:id="rId7">
        <w:r>
          <w:rPr>
            <w:color w:val="0562C1"/>
            <w:sz w:val="20"/>
            <w:u w:val="single" w:color="0562C1"/>
            <w:vertAlign w:val="baseline"/>
          </w:rPr>
          <w:t>https://policies.iu.edu/</w:t>
        </w:r>
      </w:hyperlink>
      <w:r>
        <w:rPr>
          <w:color w:val="0562C1"/>
          <w:sz w:val="20"/>
          <w:vertAlign w:val="baseline"/>
        </w:rPr>
        <w:t> </w:t>
      </w:r>
      <w:hyperlink r:id="rId8">
        <w:r>
          <w:rPr>
            <w:color w:val="0562C1"/>
            <w:spacing w:val="-2"/>
            <w:sz w:val="20"/>
            <w:u w:val="single" w:color="0562C1"/>
            <w:vertAlign w:val="baseline"/>
          </w:rPr>
          <w:t>https://policies.iu.edu/categories/academic-faculty-students.html</w:t>
        </w:r>
      </w:hyperlink>
    </w:p>
    <w:p>
      <w:pPr>
        <w:spacing w:after="0"/>
        <w:jc w:val="left"/>
        <w:rPr>
          <w:sz w:val="20"/>
        </w:rPr>
        <w:sectPr>
          <w:footerReference w:type="default" r:id="rId5"/>
          <w:type w:val="continuous"/>
          <w:pgSz w:w="12240" w:h="15840"/>
          <w:pgMar w:header="0" w:footer="1712" w:top="1400" w:bottom="1900" w:left="1320" w:right="1180"/>
          <w:pgNumType w:start="1"/>
        </w:sectPr>
      </w:pPr>
    </w:p>
    <w:p>
      <w:pPr>
        <w:pStyle w:val="BodyText"/>
        <w:spacing w:before="32"/>
        <w:ind w:left="119" w:right="182" w:firstLine="720"/>
      </w:pPr>
      <w:r>
        <w:rPr/>
        <w:t>The</w:t>
      </w:r>
      <w:r>
        <w:rPr>
          <w:spacing w:val="-2"/>
        </w:rPr>
        <w:t> </w:t>
      </w:r>
      <w:r>
        <w:rPr/>
        <w:t>Kelley</w:t>
      </w:r>
      <w:r>
        <w:rPr>
          <w:spacing w:val="-3"/>
        </w:rPr>
        <w:t> </w:t>
      </w:r>
      <w:r>
        <w:rPr/>
        <w:t>School</w:t>
      </w:r>
      <w:r>
        <w:rPr>
          <w:spacing w:val="-2"/>
        </w:rPr>
        <w:t> </w:t>
      </w:r>
      <w:r>
        <w:rPr/>
        <w:t>is</w:t>
      </w:r>
      <w:r>
        <w:rPr>
          <w:spacing w:val="-5"/>
        </w:rPr>
        <w:t> </w:t>
      </w:r>
      <w:r>
        <w:rPr/>
        <w:t>committed</w:t>
      </w:r>
      <w:r>
        <w:rPr>
          <w:spacing w:val="-4"/>
        </w:rPr>
        <w:t> </w:t>
      </w:r>
      <w:r>
        <w:rPr/>
        <w:t>to</w:t>
      </w:r>
      <w:r>
        <w:rPr>
          <w:spacing w:val="-2"/>
        </w:rPr>
        <w:t> </w:t>
      </w:r>
      <w:r>
        <w:rPr/>
        <w:t>a</w:t>
      </w:r>
      <w:r>
        <w:rPr>
          <w:spacing w:val="-5"/>
        </w:rPr>
        <w:t> </w:t>
      </w:r>
      <w:r>
        <w:rPr/>
        <w:t>number</w:t>
      </w:r>
      <w:r>
        <w:rPr>
          <w:spacing w:val="-2"/>
        </w:rPr>
        <w:t> </w:t>
      </w:r>
      <w:r>
        <w:rPr/>
        <w:t>of</w:t>
      </w:r>
      <w:r>
        <w:rPr>
          <w:spacing w:val="-1"/>
        </w:rPr>
        <w:t> </w:t>
      </w:r>
      <w:r>
        <w:rPr/>
        <w:t>values</w:t>
      </w:r>
      <w:r>
        <w:rPr>
          <w:spacing w:val="-3"/>
        </w:rPr>
        <w:t> </w:t>
      </w:r>
      <w:r>
        <w:rPr/>
        <w:t>in</w:t>
      </w:r>
      <w:r>
        <w:rPr>
          <w:spacing w:val="-1"/>
        </w:rPr>
        <w:t> </w:t>
      </w:r>
      <w:r>
        <w:rPr/>
        <w:t>fulfilling</w:t>
      </w:r>
      <w:r>
        <w:rPr>
          <w:spacing w:val="-5"/>
        </w:rPr>
        <w:t> </w:t>
      </w:r>
      <w:r>
        <w:rPr/>
        <w:t>the</w:t>
      </w:r>
      <w:r>
        <w:rPr>
          <w:spacing w:val="-2"/>
        </w:rPr>
        <w:t> </w:t>
      </w:r>
      <w:r>
        <w:rPr/>
        <w:t>teaching</w:t>
      </w:r>
      <w:r>
        <w:rPr>
          <w:spacing w:val="-3"/>
        </w:rPr>
        <w:t> </w:t>
      </w:r>
      <w:r>
        <w:rPr/>
        <w:t>and</w:t>
      </w:r>
      <w:r>
        <w:rPr>
          <w:spacing w:val="-1"/>
        </w:rPr>
        <w:t> </w:t>
      </w:r>
      <w:r>
        <w:rPr/>
        <w:t>service elements of its mission, including: ethical conduct; excellence and professionalism; personal initiative and responsibility; full engagement in the Kelley mission; ongoing innovation; collaboration, civility, respect and collegial conduct; diversity and inclusiveness; and just and equitable</w:t>
      </w:r>
      <w:r>
        <w:rPr>
          <w:spacing w:val="-1"/>
        </w:rPr>
        <w:t> </w:t>
      </w:r>
      <w:r>
        <w:rPr/>
        <w:t>recognition</w:t>
      </w:r>
      <w:r>
        <w:rPr>
          <w:spacing w:val="-3"/>
        </w:rPr>
        <w:t> </w:t>
      </w:r>
      <w:r>
        <w:rPr/>
        <w:t>for</w:t>
      </w:r>
      <w:r>
        <w:rPr>
          <w:spacing w:val="-4"/>
        </w:rPr>
        <w:t> </w:t>
      </w:r>
      <w:r>
        <w:rPr/>
        <w:t>performance.</w:t>
      </w:r>
      <w:r>
        <w:rPr>
          <w:spacing w:val="-2"/>
        </w:rPr>
        <w:t> </w:t>
      </w:r>
      <w:r>
        <w:rPr/>
        <w:t>The</w:t>
      </w:r>
      <w:r>
        <w:rPr>
          <w:spacing w:val="-1"/>
        </w:rPr>
        <w:t> </w:t>
      </w:r>
      <w:r>
        <w:rPr/>
        <w:t>Kelley</w:t>
      </w:r>
      <w:r>
        <w:rPr>
          <w:spacing w:val="-5"/>
        </w:rPr>
        <w:t> </w:t>
      </w:r>
      <w:r>
        <w:rPr/>
        <w:t>School</w:t>
      </w:r>
      <w:r>
        <w:rPr>
          <w:spacing w:val="-4"/>
        </w:rPr>
        <w:t> </w:t>
      </w:r>
      <w:r>
        <w:rPr/>
        <w:t>mission</w:t>
      </w:r>
      <w:r>
        <w:rPr>
          <w:spacing w:val="-3"/>
        </w:rPr>
        <w:t> </w:t>
      </w:r>
      <w:r>
        <w:rPr/>
        <w:t>statement</w:t>
      </w:r>
      <w:r>
        <w:rPr>
          <w:spacing w:val="-3"/>
        </w:rPr>
        <w:t> </w:t>
      </w:r>
      <w:r>
        <w:rPr/>
        <w:t>emphasizes</w:t>
      </w:r>
      <w:r>
        <w:rPr>
          <w:spacing w:val="-4"/>
        </w:rPr>
        <w:t> </w:t>
      </w:r>
      <w:r>
        <w:rPr/>
        <w:t>the</w:t>
      </w:r>
      <w:r>
        <w:rPr>
          <w:spacing w:val="-1"/>
        </w:rPr>
        <w:t> </w:t>
      </w:r>
      <w:r>
        <w:rPr/>
        <w:t>role of two of these values in fulfilling its mission: a collaborative approach and a commitment to diversity, equity, and inclusion. The Kelley School’s mission and values will be considered when evaluating a candidate’s teaching and service performance and contributions for reappointment and promotion. Most of these values, including a candidate’s commitment to diversity, equity and inclusion, may be reflected in both teaching and service.</w:t>
      </w:r>
    </w:p>
    <w:p>
      <w:pPr>
        <w:pStyle w:val="BodyText"/>
      </w:pPr>
    </w:p>
    <w:p>
      <w:pPr>
        <w:pStyle w:val="Heading1"/>
        <w:numPr>
          <w:ilvl w:val="0"/>
          <w:numId w:val="1"/>
        </w:numPr>
        <w:tabs>
          <w:tab w:pos="358" w:val="left" w:leader="none"/>
        </w:tabs>
        <w:spacing w:line="240" w:lineRule="auto" w:before="1" w:after="0"/>
        <w:ind w:left="358" w:right="0" w:hanging="238"/>
        <w:jc w:val="left"/>
      </w:pPr>
      <w:bookmarkStart w:name="I.  CLINICAL FACULTY" w:id="2"/>
      <w:bookmarkEnd w:id="2"/>
      <w:r>
        <w:rPr>
          <w:b w:val="0"/>
        </w:rPr>
      </w:r>
      <w:r>
        <w:rPr/>
        <w:t>CLINICAL</w:t>
      </w:r>
      <w:r>
        <w:rPr>
          <w:spacing w:val="-7"/>
        </w:rPr>
        <w:t> </w:t>
      </w:r>
      <w:r>
        <w:rPr>
          <w:spacing w:val="-2"/>
        </w:rPr>
        <w:t>FACULTY</w:t>
      </w:r>
    </w:p>
    <w:p>
      <w:pPr>
        <w:pStyle w:val="ListParagraph"/>
        <w:numPr>
          <w:ilvl w:val="1"/>
          <w:numId w:val="1"/>
        </w:numPr>
        <w:tabs>
          <w:tab w:pos="384" w:val="left" w:leader="none"/>
        </w:tabs>
        <w:spacing w:line="240" w:lineRule="auto" w:before="292" w:after="0"/>
        <w:ind w:left="384" w:right="0" w:hanging="264"/>
        <w:jc w:val="left"/>
        <w:rPr>
          <w:b/>
          <w:sz w:val="24"/>
        </w:rPr>
      </w:pPr>
      <w:r>
        <w:rPr>
          <w:b/>
          <w:sz w:val="24"/>
        </w:rPr>
        <w:t>Role</w:t>
      </w:r>
      <w:r>
        <w:rPr>
          <w:b/>
          <w:spacing w:val="-2"/>
          <w:sz w:val="24"/>
        </w:rPr>
        <w:t> </w:t>
      </w:r>
      <w:r>
        <w:rPr>
          <w:b/>
          <w:sz w:val="24"/>
        </w:rPr>
        <w:t>and </w:t>
      </w:r>
      <w:r>
        <w:rPr>
          <w:b/>
          <w:spacing w:val="-2"/>
          <w:sz w:val="24"/>
        </w:rPr>
        <w:t>Responsibilities</w:t>
      </w:r>
    </w:p>
    <w:p>
      <w:pPr>
        <w:pStyle w:val="BodyText"/>
        <w:rPr>
          <w:b/>
        </w:rPr>
      </w:pPr>
    </w:p>
    <w:p>
      <w:pPr>
        <w:pStyle w:val="BodyText"/>
        <w:ind w:left="119" w:right="118" w:firstLine="720"/>
      </w:pPr>
      <w:r>
        <w:rPr/>
        <w:t>Clinical faculty perform an important role in meeting the teaching mission of the Kelley School.</w:t>
      </w:r>
      <w:r>
        <w:rPr>
          <w:spacing w:val="40"/>
        </w:rPr>
        <w:t> </w:t>
      </w:r>
      <w:r>
        <w:rPr/>
        <w:t>Their</w:t>
      </w:r>
      <w:r>
        <w:rPr>
          <w:spacing w:val="-7"/>
        </w:rPr>
        <w:t> </w:t>
      </w:r>
      <w:r>
        <w:rPr/>
        <w:t>specific</w:t>
      </w:r>
      <w:r>
        <w:rPr>
          <w:spacing w:val="-11"/>
        </w:rPr>
        <w:t> </w:t>
      </w:r>
      <w:r>
        <w:rPr/>
        <w:t>teaching</w:t>
      </w:r>
      <w:r>
        <w:rPr>
          <w:spacing w:val="-8"/>
        </w:rPr>
        <w:t> </w:t>
      </w:r>
      <w:r>
        <w:rPr/>
        <w:t>responsibilities</w:t>
      </w:r>
      <w:r>
        <w:rPr>
          <w:spacing w:val="-8"/>
        </w:rPr>
        <w:t> </w:t>
      </w:r>
      <w:r>
        <w:rPr/>
        <w:t>vary,</w:t>
      </w:r>
      <w:r>
        <w:rPr>
          <w:spacing w:val="-7"/>
        </w:rPr>
        <w:t> </w:t>
      </w:r>
      <w:r>
        <w:rPr/>
        <w:t>depending</w:t>
      </w:r>
      <w:r>
        <w:rPr>
          <w:spacing w:val="-10"/>
        </w:rPr>
        <w:t> </w:t>
      </w:r>
      <w:r>
        <w:rPr/>
        <w:t>primarily</w:t>
      </w:r>
      <w:r>
        <w:rPr>
          <w:spacing w:val="-10"/>
        </w:rPr>
        <w:t> </w:t>
      </w:r>
      <w:r>
        <w:rPr/>
        <w:t>upon</w:t>
      </w:r>
      <w:r>
        <w:rPr>
          <w:spacing w:val="-6"/>
        </w:rPr>
        <w:t> </w:t>
      </w:r>
      <w:r>
        <w:rPr/>
        <w:t>their</w:t>
      </w:r>
      <w:r>
        <w:rPr>
          <w:spacing w:val="-7"/>
        </w:rPr>
        <w:t> </w:t>
      </w:r>
      <w:r>
        <w:rPr/>
        <w:t>educational and</w:t>
      </w:r>
      <w:r>
        <w:rPr>
          <w:spacing w:val="80"/>
        </w:rPr>
        <w:t> </w:t>
      </w:r>
      <w:r>
        <w:rPr/>
        <w:t>professional</w:t>
      </w:r>
      <w:r>
        <w:rPr>
          <w:spacing w:val="-4"/>
        </w:rPr>
        <w:t> </w:t>
      </w:r>
      <w:r>
        <w:rPr/>
        <w:t>background</w:t>
      </w:r>
      <w:r>
        <w:rPr>
          <w:spacing w:val="-1"/>
        </w:rPr>
        <w:t> </w:t>
      </w:r>
      <w:r>
        <w:rPr/>
        <w:t>and</w:t>
      </w:r>
      <w:r>
        <w:rPr>
          <w:spacing w:val="-3"/>
        </w:rPr>
        <w:t> </w:t>
      </w:r>
      <w:r>
        <w:rPr/>
        <w:t>upon</w:t>
      </w:r>
      <w:r>
        <w:rPr>
          <w:spacing w:val="-1"/>
        </w:rPr>
        <w:t> </w:t>
      </w:r>
      <w:r>
        <w:rPr/>
        <w:t>departmental</w:t>
      </w:r>
      <w:r>
        <w:rPr>
          <w:spacing w:val="-4"/>
        </w:rPr>
        <w:t> </w:t>
      </w:r>
      <w:r>
        <w:rPr/>
        <w:t>needs.</w:t>
      </w:r>
      <w:r>
        <w:rPr>
          <w:spacing w:val="40"/>
        </w:rPr>
        <w:t> </w:t>
      </w:r>
      <w:r>
        <w:rPr/>
        <w:t>Teaching</w:t>
      </w:r>
      <w:r>
        <w:rPr>
          <w:spacing w:val="80"/>
        </w:rPr>
        <w:t> </w:t>
      </w:r>
      <w:r>
        <w:rPr/>
        <w:t>responsibilities</w:t>
      </w:r>
      <w:r>
        <w:rPr>
          <w:spacing w:val="-2"/>
        </w:rPr>
        <w:t> </w:t>
      </w:r>
      <w:r>
        <w:rPr/>
        <w:t>will</w:t>
      </w:r>
      <w:r>
        <w:rPr>
          <w:spacing w:val="-2"/>
        </w:rPr>
        <w:t> </w:t>
      </w:r>
      <w:r>
        <w:rPr/>
        <w:t>be focused on undergraduate and graduate level courses. Clinical faculty may also have organizational and oversight</w:t>
      </w:r>
      <w:r>
        <w:rPr>
          <w:spacing w:val="-1"/>
        </w:rPr>
        <w:t> </w:t>
      </w:r>
      <w:r>
        <w:rPr/>
        <w:t>responsibility</w:t>
      </w:r>
      <w:r>
        <w:rPr>
          <w:spacing w:val="-5"/>
        </w:rPr>
        <w:t> </w:t>
      </w:r>
      <w:r>
        <w:rPr/>
        <w:t>for the courses in</w:t>
      </w:r>
      <w:r>
        <w:rPr>
          <w:spacing w:val="-1"/>
        </w:rPr>
        <w:t> </w:t>
      </w:r>
      <w:r>
        <w:rPr/>
        <w:t>which</w:t>
      </w:r>
      <w:r>
        <w:rPr>
          <w:spacing w:val="-1"/>
        </w:rPr>
        <w:t> </w:t>
      </w:r>
      <w:r>
        <w:rPr/>
        <w:t>they teach. The standard teaching load for Clinical faculty will be 18 credit hours</w:t>
      </w:r>
      <w:r>
        <w:rPr>
          <w:spacing w:val="-1"/>
        </w:rPr>
        <w:t> </w:t>
      </w:r>
      <w:r>
        <w:rPr/>
        <w:t>per academic</w:t>
      </w:r>
      <w:r>
        <w:rPr>
          <w:spacing w:val="-2"/>
        </w:rPr>
        <w:t> </w:t>
      </w:r>
      <w:r>
        <w:rPr/>
        <w:t>year. This load may be adjusted</w:t>
      </w:r>
      <w:r>
        <w:rPr>
          <w:spacing w:val="-10"/>
        </w:rPr>
        <w:t> </w:t>
      </w:r>
      <w:r>
        <w:rPr/>
        <w:t>depending</w:t>
      </w:r>
      <w:r>
        <w:rPr>
          <w:spacing w:val="-11"/>
        </w:rPr>
        <w:t> </w:t>
      </w:r>
      <w:r>
        <w:rPr/>
        <w:t>on</w:t>
      </w:r>
      <w:r>
        <w:rPr>
          <w:spacing w:val="-12"/>
        </w:rPr>
        <w:t> </w:t>
      </w:r>
      <w:r>
        <w:rPr/>
        <w:t>factors</w:t>
      </w:r>
      <w:r>
        <w:rPr>
          <w:spacing w:val="-12"/>
        </w:rPr>
        <w:t> </w:t>
      </w:r>
      <w:r>
        <w:rPr/>
        <w:t>such</w:t>
      </w:r>
      <w:r>
        <w:rPr>
          <w:spacing w:val="-10"/>
        </w:rPr>
        <w:t> </w:t>
      </w:r>
      <w:r>
        <w:rPr/>
        <w:t>as</w:t>
      </w:r>
      <w:r>
        <w:rPr>
          <w:spacing w:val="-11"/>
        </w:rPr>
        <w:t> </w:t>
      </w:r>
      <w:r>
        <w:rPr/>
        <w:t>service</w:t>
      </w:r>
      <w:r>
        <w:rPr>
          <w:spacing w:val="-10"/>
        </w:rPr>
        <w:t> </w:t>
      </w:r>
      <w:r>
        <w:rPr/>
        <w:t>responsibilities,</w:t>
      </w:r>
      <w:r>
        <w:rPr>
          <w:spacing w:val="-14"/>
        </w:rPr>
        <w:t> </w:t>
      </w:r>
      <w:r>
        <w:rPr/>
        <w:t>the</w:t>
      </w:r>
      <w:r>
        <w:rPr>
          <w:spacing w:val="-10"/>
        </w:rPr>
        <w:t> </w:t>
      </w:r>
      <w:r>
        <w:rPr/>
        <w:t>number</w:t>
      </w:r>
      <w:r>
        <w:rPr>
          <w:spacing w:val="-11"/>
        </w:rPr>
        <w:t> </w:t>
      </w:r>
      <w:r>
        <w:rPr/>
        <w:t>of</w:t>
      </w:r>
      <w:r>
        <w:rPr>
          <w:spacing w:val="-12"/>
        </w:rPr>
        <w:t> </w:t>
      </w:r>
      <w:r>
        <w:rPr/>
        <w:t>preparations,</w:t>
      </w:r>
      <w:r>
        <w:rPr>
          <w:spacing w:val="-11"/>
        </w:rPr>
        <w:t> </w:t>
      </w:r>
      <w:r>
        <w:rPr/>
        <w:t>class size,</w:t>
      </w:r>
      <w:r>
        <w:rPr>
          <w:spacing w:val="-5"/>
        </w:rPr>
        <w:t> </w:t>
      </w:r>
      <w:r>
        <w:rPr/>
        <w:t>and</w:t>
      </w:r>
      <w:r>
        <w:rPr>
          <w:spacing w:val="-6"/>
        </w:rPr>
        <w:t> </w:t>
      </w:r>
      <w:r>
        <w:rPr/>
        <w:t>type</w:t>
      </w:r>
      <w:r>
        <w:rPr>
          <w:spacing w:val="-7"/>
        </w:rPr>
        <w:t> </w:t>
      </w:r>
      <w:r>
        <w:rPr/>
        <w:t>of</w:t>
      </w:r>
      <w:r>
        <w:rPr>
          <w:spacing w:val="-4"/>
        </w:rPr>
        <w:t> </w:t>
      </w:r>
      <w:r>
        <w:rPr/>
        <w:t>instruction</w:t>
      </w:r>
      <w:r>
        <w:rPr>
          <w:spacing w:val="-4"/>
        </w:rPr>
        <w:t> </w:t>
      </w:r>
      <w:r>
        <w:rPr/>
        <w:t>or</w:t>
      </w:r>
      <w:r>
        <w:rPr>
          <w:spacing w:val="-5"/>
        </w:rPr>
        <w:t> </w:t>
      </w:r>
      <w:r>
        <w:rPr/>
        <w:t>to</w:t>
      </w:r>
      <w:r>
        <w:rPr>
          <w:spacing w:val="-4"/>
        </w:rPr>
        <w:t> </w:t>
      </w:r>
      <w:r>
        <w:rPr/>
        <w:t>meet</w:t>
      </w:r>
      <w:r>
        <w:rPr>
          <w:spacing w:val="-4"/>
        </w:rPr>
        <w:t> </w:t>
      </w:r>
      <w:r>
        <w:rPr/>
        <w:t>the</w:t>
      </w:r>
      <w:r>
        <w:rPr>
          <w:spacing w:val="-4"/>
        </w:rPr>
        <w:t> </w:t>
      </w:r>
      <w:r>
        <w:rPr/>
        <w:t>specific</w:t>
      </w:r>
      <w:r>
        <w:rPr>
          <w:spacing w:val="-6"/>
        </w:rPr>
        <w:t> </w:t>
      </w:r>
      <w:r>
        <w:rPr/>
        <w:t>needs</w:t>
      </w:r>
      <w:r>
        <w:rPr>
          <w:spacing w:val="-8"/>
        </w:rPr>
        <w:t> </w:t>
      </w:r>
      <w:r>
        <w:rPr/>
        <w:t>of</w:t>
      </w:r>
      <w:r>
        <w:rPr>
          <w:spacing w:val="-4"/>
        </w:rPr>
        <w:t> </w:t>
      </w:r>
      <w:r>
        <w:rPr/>
        <w:t>the</w:t>
      </w:r>
      <w:r>
        <w:rPr>
          <w:spacing w:val="-4"/>
        </w:rPr>
        <w:t> </w:t>
      </w:r>
      <w:r>
        <w:rPr/>
        <w:t>Kelley</w:t>
      </w:r>
      <w:r>
        <w:rPr>
          <w:spacing w:val="-6"/>
        </w:rPr>
        <w:t> </w:t>
      </w:r>
      <w:r>
        <w:rPr/>
        <w:t>School</w:t>
      </w:r>
      <w:r>
        <w:rPr>
          <w:spacing w:val="-5"/>
        </w:rPr>
        <w:t> </w:t>
      </w:r>
      <w:r>
        <w:rPr/>
        <w:t>of</w:t>
      </w:r>
      <w:r>
        <w:rPr>
          <w:spacing w:val="-4"/>
        </w:rPr>
        <w:t> </w:t>
      </w:r>
      <w:r>
        <w:rPr/>
        <w:t>Business</w:t>
      </w:r>
      <w:r>
        <w:rPr>
          <w:spacing w:val="-5"/>
        </w:rPr>
        <w:t> </w:t>
      </w:r>
      <w:r>
        <w:rPr/>
        <w:t>or</w:t>
      </w:r>
      <w:r>
        <w:rPr>
          <w:spacing w:val="-7"/>
        </w:rPr>
        <w:t> </w:t>
      </w:r>
      <w:r>
        <w:rPr/>
        <w:t>the appropriate department.</w:t>
      </w:r>
    </w:p>
    <w:p>
      <w:pPr>
        <w:pStyle w:val="BodyText"/>
      </w:pPr>
    </w:p>
    <w:p>
      <w:pPr>
        <w:pStyle w:val="BodyText"/>
        <w:spacing w:before="1"/>
        <w:ind w:left="119" w:right="118" w:firstLine="720"/>
      </w:pPr>
      <w:r>
        <w:rPr/>
        <w:t>In addition to their contributions</w:t>
      </w:r>
      <w:r>
        <w:rPr>
          <w:spacing w:val="-2"/>
        </w:rPr>
        <w:t> </w:t>
      </w:r>
      <w:r>
        <w:rPr/>
        <w:t>to the teaching</w:t>
      </w:r>
      <w:r>
        <w:rPr>
          <w:spacing w:val="-2"/>
        </w:rPr>
        <w:t> </w:t>
      </w:r>
      <w:r>
        <w:rPr/>
        <w:t>mission of the Kelley</w:t>
      </w:r>
      <w:r>
        <w:rPr>
          <w:spacing w:val="-3"/>
        </w:rPr>
        <w:t> </w:t>
      </w:r>
      <w:r>
        <w:rPr/>
        <w:t>School and</w:t>
      </w:r>
      <w:r>
        <w:rPr>
          <w:spacing w:val="-1"/>
        </w:rPr>
        <w:t> </w:t>
      </w:r>
      <w:r>
        <w:rPr/>
        <w:t>the University, Clinical faculty are</w:t>
      </w:r>
      <w:r>
        <w:rPr>
          <w:spacing w:val="-5"/>
        </w:rPr>
        <w:t> </w:t>
      </w:r>
      <w:r>
        <w:rPr/>
        <w:t>expected to</w:t>
      </w:r>
      <w:r>
        <w:rPr>
          <w:spacing w:val="-2"/>
        </w:rPr>
        <w:t> </w:t>
      </w:r>
      <w:r>
        <w:rPr/>
        <w:t>participate in service. This</w:t>
      </w:r>
      <w:r>
        <w:rPr>
          <w:spacing w:val="80"/>
        </w:rPr>
        <w:t> </w:t>
      </w:r>
      <w:r>
        <w:rPr/>
        <w:t>service may include,</w:t>
      </w:r>
      <w:r>
        <w:rPr>
          <w:spacing w:val="-3"/>
        </w:rPr>
        <w:t> </w:t>
      </w:r>
      <w:r>
        <w:rPr/>
        <w:t>but is not limited</w:t>
      </w:r>
      <w:r>
        <w:rPr>
          <w:spacing w:val="-1"/>
        </w:rPr>
        <w:t> </w:t>
      </w:r>
      <w:r>
        <w:rPr/>
        <w:t>to, service on relevant Kelley School committees.</w:t>
      </w:r>
      <w:r>
        <w:rPr>
          <w:spacing w:val="80"/>
        </w:rPr>
        <w:t> </w:t>
      </w:r>
      <w:r>
        <w:rPr/>
        <w:t>Clinical faculty may hold all administrative</w:t>
      </w:r>
      <w:r>
        <w:rPr>
          <w:spacing w:val="-5"/>
        </w:rPr>
        <w:t> </w:t>
      </w:r>
      <w:r>
        <w:rPr/>
        <w:t>positions</w:t>
      </w:r>
      <w:r>
        <w:rPr>
          <w:spacing w:val="-4"/>
        </w:rPr>
        <w:t> </w:t>
      </w:r>
      <w:r>
        <w:rPr/>
        <w:t>in</w:t>
      </w:r>
      <w:r>
        <w:rPr>
          <w:spacing w:val="-2"/>
        </w:rPr>
        <w:t> </w:t>
      </w:r>
      <w:r>
        <w:rPr/>
        <w:t>the</w:t>
      </w:r>
      <w:r>
        <w:rPr>
          <w:spacing w:val="-3"/>
        </w:rPr>
        <w:t> </w:t>
      </w:r>
      <w:r>
        <w:rPr/>
        <w:t>Kelley</w:t>
      </w:r>
      <w:r>
        <w:rPr>
          <w:spacing w:val="-4"/>
        </w:rPr>
        <w:t> </w:t>
      </w:r>
      <w:r>
        <w:rPr/>
        <w:t>School</w:t>
      </w:r>
      <w:r>
        <w:rPr>
          <w:spacing w:val="-5"/>
        </w:rPr>
        <w:t> </w:t>
      </w:r>
      <w:r>
        <w:rPr/>
        <w:t>of</w:t>
      </w:r>
      <w:r>
        <w:rPr>
          <w:spacing w:val="-2"/>
        </w:rPr>
        <w:t> </w:t>
      </w:r>
      <w:r>
        <w:rPr/>
        <w:t>Business,</w:t>
      </w:r>
      <w:r>
        <w:rPr>
          <w:spacing w:val="-3"/>
        </w:rPr>
        <w:t> </w:t>
      </w:r>
      <w:r>
        <w:rPr/>
        <w:t>except</w:t>
      </w:r>
      <w:r>
        <w:rPr>
          <w:spacing w:val="-2"/>
        </w:rPr>
        <w:t> </w:t>
      </w:r>
      <w:r>
        <w:rPr/>
        <w:t>appointments</w:t>
      </w:r>
      <w:r>
        <w:rPr>
          <w:spacing w:val="-5"/>
        </w:rPr>
        <w:t> </w:t>
      </w:r>
      <w:r>
        <w:rPr/>
        <w:t>where</w:t>
      </w:r>
      <w:r>
        <w:rPr>
          <w:spacing w:val="-5"/>
        </w:rPr>
        <w:t> </w:t>
      </w:r>
      <w:r>
        <w:rPr/>
        <w:t>they</w:t>
      </w:r>
      <w:r>
        <w:rPr>
          <w:spacing w:val="-4"/>
        </w:rPr>
        <w:t> </w:t>
      </w:r>
      <w:r>
        <w:rPr/>
        <w:t>would be involved in making tenure, promotion, or faculty hiring decisions involving tenure-related positions. Eligibility for administrative positions is covered by </w:t>
      </w:r>
      <w:r>
        <w:rPr>
          <w:i/>
        </w:rPr>
        <w:t>IU Policy</w:t>
      </w:r>
      <w:r>
        <w:rPr>
          <w:i/>
          <w:spacing w:val="-3"/>
        </w:rPr>
        <w:t> </w:t>
      </w:r>
      <w:r>
        <w:rPr>
          <w:i/>
        </w:rPr>
        <w:t>ACA-18 Regulation of</w:t>
      </w:r>
      <w:r>
        <w:rPr>
          <w:i/>
        </w:rPr>
        <w:t> </w:t>
      </w:r>
      <w:r>
        <w:rPr>
          <w:i/>
          <w:spacing w:val="-2"/>
        </w:rPr>
        <w:t>Clinical and</w:t>
      </w:r>
      <w:r>
        <w:rPr>
          <w:i/>
          <w:spacing w:val="-4"/>
        </w:rPr>
        <w:t> </w:t>
      </w:r>
      <w:r>
        <w:rPr>
          <w:i/>
          <w:spacing w:val="-2"/>
        </w:rPr>
        <w:t>Lecturer Appointments.</w:t>
      </w:r>
      <w:r>
        <w:rPr>
          <w:i/>
          <w:spacing w:val="-14"/>
        </w:rPr>
        <w:t> </w:t>
      </w:r>
      <w:r>
        <w:rPr>
          <w:spacing w:val="-2"/>
        </w:rPr>
        <w:t>Clinical</w:t>
      </w:r>
      <w:r>
        <w:rPr>
          <w:spacing w:val="-13"/>
        </w:rPr>
        <w:t> </w:t>
      </w:r>
      <w:r>
        <w:rPr>
          <w:spacing w:val="-2"/>
        </w:rPr>
        <w:t>faculty</w:t>
      </w:r>
      <w:r>
        <w:rPr>
          <w:spacing w:val="-9"/>
        </w:rPr>
        <w:t> </w:t>
      </w:r>
      <w:r>
        <w:rPr>
          <w:spacing w:val="-2"/>
        </w:rPr>
        <w:t>may</w:t>
      </w:r>
      <w:r>
        <w:rPr>
          <w:spacing w:val="-14"/>
        </w:rPr>
        <w:t> </w:t>
      </w:r>
      <w:r>
        <w:rPr>
          <w:spacing w:val="-2"/>
        </w:rPr>
        <w:t>hold</w:t>
      </w:r>
      <w:r>
        <w:rPr>
          <w:spacing w:val="-9"/>
        </w:rPr>
        <w:t> </w:t>
      </w:r>
      <w:r>
        <w:rPr>
          <w:spacing w:val="-2"/>
        </w:rPr>
        <w:t>the</w:t>
      </w:r>
      <w:r>
        <w:rPr>
          <w:spacing w:val="-12"/>
        </w:rPr>
        <w:t> </w:t>
      </w:r>
      <w:r>
        <w:rPr>
          <w:spacing w:val="-2"/>
        </w:rPr>
        <w:t>positions</w:t>
      </w:r>
      <w:r>
        <w:rPr>
          <w:spacing w:val="-13"/>
        </w:rPr>
        <w:t> </w:t>
      </w:r>
      <w:r>
        <w:rPr>
          <w:spacing w:val="-2"/>
        </w:rPr>
        <w:t>of</w:t>
      </w:r>
      <w:r>
        <w:rPr>
          <w:spacing w:val="-9"/>
        </w:rPr>
        <w:t> </w:t>
      </w:r>
      <w:r>
        <w:rPr>
          <w:spacing w:val="-2"/>
        </w:rPr>
        <w:t>Program</w:t>
      </w:r>
      <w:r>
        <w:rPr>
          <w:spacing w:val="-10"/>
        </w:rPr>
        <w:t> </w:t>
      </w:r>
      <w:r>
        <w:rPr>
          <w:spacing w:val="-2"/>
        </w:rPr>
        <w:t>Chair</w:t>
      </w:r>
      <w:r>
        <w:rPr>
          <w:spacing w:val="-13"/>
        </w:rPr>
        <w:t> </w:t>
      </w:r>
      <w:r>
        <w:rPr>
          <w:spacing w:val="-2"/>
        </w:rPr>
        <w:t>for </w:t>
      </w:r>
      <w:r>
        <w:rPr>
          <w:spacing w:val="-4"/>
        </w:rPr>
        <w:t>various</w:t>
      </w:r>
      <w:r>
        <w:rPr>
          <w:spacing w:val="-6"/>
        </w:rPr>
        <w:t> </w:t>
      </w:r>
      <w:r>
        <w:rPr>
          <w:spacing w:val="-4"/>
        </w:rPr>
        <w:t>Kelley</w:t>
      </w:r>
      <w:r>
        <w:rPr>
          <w:spacing w:val="-7"/>
        </w:rPr>
        <w:t> </w:t>
      </w:r>
      <w:r>
        <w:rPr>
          <w:spacing w:val="-4"/>
        </w:rPr>
        <w:t>Indianapolis programs (e.g.,</w:t>
      </w:r>
      <w:r>
        <w:rPr>
          <w:spacing w:val="-6"/>
        </w:rPr>
        <w:t> </w:t>
      </w:r>
      <w:r>
        <w:rPr>
          <w:spacing w:val="-4"/>
        </w:rPr>
        <w:t>undergraduate,</w:t>
      </w:r>
      <w:r>
        <w:rPr>
          <w:spacing w:val="-6"/>
        </w:rPr>
        <w:t> </w:t>
      </w:r>
      <w:r>
        <w:rPr>
          <w:spacing w:val="-4"/>
        </w:rPr>
        <w:t>MBA,</w:t>
      </w:r>
      <w:r>
        <w:rPr>
          <w:spacing w:val="-6"/>
        </w:rPr>
        <w:t> </w:t>
      </w:r>
      <w:r>
        <w:rPr>
          <w:spacing w:val="-4"/>
        </w:rPr>
        <w:t>etc.).</w:t>
      </w:r>
    </w:p>
    <w:p>
      <w:pPr>
        <w:pStyle w:val="BodyText"/>
        <w:spacing w:before="291"/>
        <w:ind w:left="120" w:right="191" w:firstLine="720"/>
      </w:pPr>
      <w:r>
        <w:rPr/>
        <w:t>Both</w:t>
      </w:r>
      <w:r>
        <w:rPr>
          <w:spacing w:val="-4"/>
        </w:rPr>
        <w:t> </w:t>
      </w:r>
      <w:r>
        <w:rPr/>
        <w:t>undergraduate</w:t>
      </w:r>
      <w:r>
        <w:rPr>
          <w:spacing w:val="-2"/>
        </w:rPr>
        <w:t> </w:t>
      </w:r>
      <w:r>
        <w:rPr/>
        <w:t>and</w:t>
      </w:r>
      <w:r>
        <w:rPr>
          <w:spacing w:val="-6"/>
        </w:rPr>
        <w:t> </w:t>
      </w:r>
      <w:r>
        <w:rPr/>
        <w:t>graduate</w:t>
      </w:r>
      <w:r>
        <w:rPr>
          <w:spacing w:val="-2"/>
        </w:rPr>
        <w:t> </w:t>
      </w:r>
      <w:r>
        <w:rPr/>
        <w:t>students</w:t>
      </w:r>
      <w:r>
        <w:rPr>
          <w:spacing w:val="-3"/>
        </w:rPr>
        <w:t> </w:t>
      </w:r>
      <w:r>
        <w:rPr/>
        <w:t>at</w:t>
      </w:r>
      <w:r>
        <w:rPr>
          <w:spacing w:val="-4"/>
        </w:rPr>
        <w:t> </w:t>
      </w:r>
      <w:r>
        <w:rPr/>
        <w:t>the</w:t>
      </w:r>
      <w:r>
        <w:rPr>
          <w:spacing w:val="-4"/>
        </w:rPr>
        <w:t> </w:t>
      </w:r>
      <w:r>
        <w:rPr/>
        <w:t>Kelley</w:t>
      </w:r>
      <w:r>
        <w:rPr>
          <w:spacing w:val="-3"/>
        </w:rPr>
        <w:t> </w:t>
      </w:r>
      <w:r>
        <w:rPr/>
        <w:t>School</w:t>
      </w:r>
      <w:r>
        <w:rPr>
          <w:spacing w:val="-5"/>
        </w:rPr>
        <w:t> </w:t>
      </w:r>
      <w:r>
        <w:rPr/>
        <w:t>of</w:t>
      </w:r>
      <w:r>
        <w:rPr>
          <w:spacing w:val="-1"/>
        </w:rPr>
        <w:t> </w:t>
      </w:r>
      <w:r>
        <w:rPr/>
        <w:t>Business</w:t>
      </w:r>
      <w:r>
        <w:rPr>
          <w:spacing w:val="-3"/>
        </w:rPr>
        <w:t> </w:t>
      </w:r>
      <w:r>
        <w:rPr/>
        <w:t>are</w:t>
      </w:r>
      <w:r>
        <w:rPr>
          <w:spacing w:val="-2"/>
        </w:rPr>
        <w:t> </w:t>
      </w:r>
      <w:r>
        <w:rPr/>
        <w:t>routinely involved in outreach activities in the business community. Accordingly, Clinical faculty may be expected to lend their experience and leadership, in concert with other faculty and staff, to carefully monitor these outreach activities and evaluate students and the projects associated with them.</w:t>
      </w:r>
    </w:p>
    <w:p>
      <w:pPr>
        <w:pStyle w:val="Heading1"/>
        <w:numPr>
          <w:ilvl w:val="0"/>
          <w:numId w:val="1"/>
        </w:numPr>
        <w:tabs>
          <w:tab w:pos="365" w:val="left" w:leader="none"/>
        </w:tabs>
        <w:spacing w:line="240" w:lineRule="auto" w:before="242" w:after="0"/>
        <w:ind w:left="365" w:right="0" w:hanging="245"/>
        <w:jc w:val="left"/>
      </w:pPr>
      <w:bookmarkStart w:name="II. APPOINTMENTS AND REAPPOINTMENTS TO C" w:id="3"/>
      <w:bookmarkEnd w:id="3"/>
      <w:r>
        <w:rPr>
          <w:b w:val="0"/>
        </w:rPr>
      </w:r>
      <w:r>
        <w:rPr/>
        <w:t>APPOINTMENTS</w:t>
      </w:r>
      <w:r>
        <w:rPr>
          <w:spacing w:val="-8"/>
        </w:rPr>
        <w:t> </w:t>
      </w:r>
      <w:r>
        <w:rPr/>
        <w:t>AND</w:t>
      </w:r>
      <w:r>
        <w:rPr>
          <w:spacing w:val="-5"/>
        </w:rPr>
        <w:t> </w:t>
      </w:r>
      <w:r>
        <w:rPr/>
        <w:t>REAPPOINTMENTS</w:t>
      </w:r>
      <w:r>
        <w:rPr>
          <w:spacing w:val="-3"/>
        </w:rPr>
        <w:t> </w:t>
      </w:r>
      <w:r>
        <w:rPr/>
        <w:t>TO</w:t>
      </w:r>
      <w:r>
        <w:rPr>
          <w:spacing w:val="-2"/>
        </w:rPr>
        <w:t> </w:t>
      </w:r>
      <w:r>
        <w:rPr/>
        <w:t>CLINICAL</w:t>
      </w:r>
      <w:r>
        <w:rPr>
          <w:spacing w:val="-3"/>
        </w:rPr>
        <w:t> </w:t>
      </w:r>
      <w:r>
        <w:rPr/>
        <w:t>FACULTY</w:t>
      </w:r>
      <w:r>
        <w:rPr>
          <w:spacing w:val="-2"/>
        </w:rPr>
        <w:t> POSITIONS</w:t>
      </w:r>
    </w:p>
    <w:p>
      <w:pPr>
        <w:spacing w:after="0" w:line="240" w:lineRule="auto"/>
        <w:jc w:val="left"/>
        <w:sectPr>
          <w:pgSz w:w="12240" w:h="15840"/>
          <w:pgMar w:header="0" w:footer="1712" w:top="1700" w:bottom="1980" w:left="1320" w:right="1180"/>
        </w:sectPr>
      </w:pPr>
    </w:p>
    <w:p>
      <w:pPr>
        <w:pStyle w:val="ListParagraph"/>
        <w:numPr>
          <w:ilvl w:val="1"/>
          <w:numId w:val="1"/>
        </w:numPr>
        <w:tabs>
          <w:tab w:pos="478" w:val="left" w:leader="none"/>
        </w:tabs>
        <w:spacing w:line="240" w:lineRule="auto" w:before="33" w:after="0"/>
        <w:ind w:left="478" w:right="0" w:hanging="358"/>
        <w:jc w:val="left"/>
        <w:rPr>
          <w:b/>
          <w:sz w:val="24"/>
        </w:rPr>
      </w:pPr>
      <w:bookmarkStart w:name="A. Qualifications of Candidates; Hiring " w:id="4"/>
      <w:bookmarkEnd w:id="4"/>
      <w:r>
        <w:rPr/>
      </w:r>
      <w:r>
        <w:rPr>
          <w:b/>
          <w:sz w:val="24"/>
        </w:rPr>
        <w:t>Qualifications</w:t>
      </w:r>
      <w:r>
        <w:rPr>
          <w:b/>
          <w:spacing w:val="-5"/>
          <w:sz w:val="24"/>
        </w:rPr>
        <w:t> </w:t>
      </w:r>
      <w:r>
        <w:rPr>
          <w:b/>
          <w:sz w:val="24"/>
        </w:rPr>
        <w:t>of</w:t>
      </w:r>
      <w:r>
        <w:rPr>
          <w:b/>
          <w:spacing w:val="-4"/>
          <w:sz w:val="24"/>
        </w:rPr>
        <w:t> </w:t>
      </w:r>
      <w:r>
        <w:rPr>
          <w:b/>
          <w:sz w:val="24"/>
        </w:rPr>
        <w:t>Candidates;</w:t>
      </w:r>
      <w:r>
        <w:rPr>
          <w:b/>
          <w:spacing w:val="-3"/>
          <w:sz w:val="24"/>
        </w:rPr>
        <w:t> </w:t>
      </w:r>
      <w:r>
        <w:rPr>
          <w:b/>
          <w:sz w:val="24"/>
        </w:rPr>
        <w:t>Hiring</w:t>
      </w:r>
      <w:r>
        <w:rPr>
          <w:b/>
          <w:spacing w:val="-3"/>
          <w:sz w:val="24"/>
        </w:rPr>
        <w:t> </w:t>
      </w:r>
      <w:r>
        <w:rPr>
          <w:b/>
          <w:spacing w:val="-2"/>
          <w:sz w:val="24"/>
        </w:rPr>
        <w:t>Decisions</w:t>
      </w:r>
    </w:p>
    <w:p>
      <w:pPr>
        <w:pStyle w:val="BodyText"/>
        <w:spacing w:before="292"/>
        <w:ind w:left="120" w:right="330" w:firstLine="720"/>
      </w:pPr>
      <w:r>
        <w:rPr/>
        <w:t>Clinical</w:t>
      </w:r>
      <w:r>
        <w:rPr>
          <w:spacing w:val="-2"/>
        </w:rPr>
        <w:t> </w:t>
      </w:r>
      <w:r>
        <w:rPr/>
        <w:t>faculty</w:t>
      </w:r>
      <w:r>
        <w:rPr>
          <w:spacing w:val="-3"/>
        </w:rPr>
        <w:t> </w:t>
      </w:r>
      <w:r>
        <w:rPr/>
        <w:t>will</w:t>
      </w:r>
      <w:r>
        <w:rPr>
          <w:spacing w:val="-2"/>
        </w:rPr>
        <w:t> </w:t>
      </w:r>
      <w:r>
        <w:rPr/>
        <w:t>be</w:t>
      </w:r>
      <w:r>
        <w:rPr>
          <w:spacing w:val="-2"/>
        </w:rPr>
        <w:t> </w:t>
      </w:r>
      <w:r>
        <w:rPr/>
        <w:t>expected</w:t>
      </w:r>
      <w:r>
        <w:rPr>
          <w:spacing w:val="-1"/>
        </w:rPr>
        <w:t> </w:t>
      </w:r>
      <w:r>
        <w:rPr/>
        <w:t>to</w:t>
      </w:r>
      <w:r>
        <w:rPr>
          <w:spacing w:val="-4"/>
        </w:rPr>
        <w:t> </w:t>
      </w:r>
      <w:r>
        <w:rPr/>
        <w:t>hold</w:t>
      </w:r>
      <w:r>
        <w:rPr>
          <w:spacing w:val="-4"/>
        </w:rPr>
        <w:t> </w:t>
      </w:r>
      <w:r>
        <w:rPr/>
        <w:t>a</w:t>
      </w:r>
      <w:r>
        <w:rPr>
          <w:spacing w:val="-5"/>
        </w:rPr>
        <w:t> </w:t>
      </w:r>
      <w:r>
        <w:rPr/>
        <w:t>terminal</w:t>
      </w:r>
      <w:r>
        <w:rPr>
          <w:spacing w:val="-2"/>
        </w:rPr>
        <w:t> </w:t>
      </w:r>
      <w:r>
        <w:rPr/>
        <w:t>degree</w:t>
      </w:r>
      <w:r>
        <w:rPr>
          <w:spacing w:val="-2"/>
        </w:rPr>
        <w:t> </w:t>
      </w:r>
      <w:r>
        <w:rPr/>
        <w:t>(e.g.,</w:t>
      </w:r>
      <w:r>
        <w:rPr>
          <w:spacing w:val="-2"/>
        </w:rPr>
        <w:t> </w:t>
      </w:r>
      <w:r>
        <w:rPr/>
        <w:t>PhD,</w:t>
      </w:r>
      <w:r>
        <w:rPr>
          <w:spacing w:val="-5"/>
        </w:rPr>
        <w:t> </w:t>
      </w:r>
      <w:r>
        <w:rPr/>
        <w:t>DBA,</w:t>
      </w:r>
      <w:r>
        <w:rPr>
          <w:spacing w:val="-5"/>
        </w:rPr>
        <w:t> </w:t>
      </w:r>
      <w:r>
        <w:rPr/>
        <w:t>or</w:t>
      </w:r>
      <w:r>
        <w:rPr>
          <w:spacing w:val="-2"/>
        </w:rPr>
        <w:t> </w:t>
      </w:r>
      <w:r>
        <w:rPr/>
        <w:t>JD)</w:t>
      </w:r>
      <w:r>
        <w:rPr>
          <w:spacing w:val="-5"/>
        </w:rPr>
        <w:t> </w:t>
      </w:r>
      <w:r>
        <w:rPr/>
        <w:t>within the discipline of teaching. Clinical faculty also must initially meet (and maintain) faculty qualification standards, as defined jointly by the Association to Advance Collegiate Schools of Business (AACSB), the Higher Learning Commission (HLC), and the Kelley School of Business.</w:t>
      </w:r>
      <w:r>
        <w:rPr>
          <w:spacing w:val="-9"/>
        </w:rPr>
        <w:t> </w:t>
      </w:r>
      <w:hyperlink w:history="true" w:anchor="_bookmark1">
        <w:r>
          <w:rPr>
            <w:vertAlign w:val="superscript"/>
          </w:rPr>
          <w:t>2</w:t>
        </w:r>
      </w:hyperlink>
      <w:r>
        <w:rPr>
          <w:vertAlign w:val="baseline"/>
        </w:rPr>
        <w:t> Candidates</w:t>
      </w:r>
      <w:r>
        <w:rPr>
          <w:spacing w:val="-1"/>
          <w:vertAlign w:val="baseline"/>
        </w:rPr>
        <w:t> </w:t>
      </w:r>
      <w:r>
        <w:rPr>
          <w:vertAlign w:val="baseline"/>
        </w:rPr>
        <w:t>for</w:t>
      </w:r>
      <w:r>
        <w:rPr>
          <w:spacing w:val="-1"/>
          <w:vertAlign w:val="baseline"/>
        </w:rPr>
        <w:t> </w:t>
      </w:r>
      <w:r>
        <w:rPr>
          <w:vertAlign w:val="baseline"/>
        </w:rPr>
        <w:t>Clinical</w:t>
      </w:r>
      <w:r>
        <w:rPr>
          <w:spacing w:val="-1"/>
          <w:vertAlign w:val="baseline"/>
        </w:rPr>
        <w:t> </w:t>
      </w:r>
      <w:r>
        <w:rPr>
          <w:vertAlign w:val="baseline"/>
        </w:rPr>
        <w:t>faculty positions generally</w:t>
      </w:r>
      <w:r>
        <w:rPr>
          <w:spacing w:val="-2"/>
          <w:vertAlign w:val="baseline"/>
        </w:rPr>
        <w:t> </w:t>
      </w:r>
      <w:r>
        <w:rPr>
          <w:vertAlign w:val="baseline"/>
        </w:rPr>
        <w:t>have</w:t>
      </w:r>
      <w:r>
        <w:rPr>
          <w:spacing w:val="-1"/>
          <w:vertAlign w:val="baseline"/>
        </w:rPr>
        <w:t> </w:t>
      </w:r>
      <w:r>
        <w:rPr>
          <w:vertAlign w:val="baseline"/>
        </w:rPr>
        <w:t>the following characteristics: extensive business or government experience, or comparable professional experience (for instance, extensive experience in the practice of law), prior academic experience .</w:t>
      </w:r>
    </w:p>
    <w:p>
      <w:pPr>
        <w:pStyle w:val="BodyText"/>
        <w:spacing w:before="292"/>
        <w:ind w:left="119" w:right="182" w:firstLine="720"/>
        <w:rPr>
          <w:i/>
        </w:rPr>
      </w:pPr>
      <w:r>
        <w:rPr/>
        <w:t>Clinical faculty</w:t>
      </w:r>
      <w:r>
        <w:rPr>
          <w:spacing w:val="-1"/>
        </w:rPr>
        <w:t> </w:t>
      </w:r>
      <w:r>
        <w:rPr/>
        <w:t>can</w:t>
      </w:r>
      <w:r>
        <w:rPr>
          <w:spacing w:val="-2"/>
        </w:rPr>
        <w:t> </w:t>
      </w:r>
      <w:r>
        <w:rPr/>
        <w:t>be</w:t>
      </w:r>
      <w:r>
        <w:rPr>
          <w:spacing w:val="-2"/>
        </w:rPr>
        <w:t> </w:t>
      </w:r>
      <w:r>
        <w:rPr/>
        <w:t>appointed</w:t>
      </w:r>
      <w:r>
        <w:rPr>
          <w:spacing w:val="-2"/>
        </w:rPr>
        <w:t> </w:t>
      </w:r>
      <w:r>
        <w:rPr/>
        <w:t>at</w:t>
      </w:r>
      <w:r>
        <w:rPr>
          <w:spacing w:val="-2"/>
        </w:rPr>
        <w:t> </w:t>
      </w:r>
      <w:r>
        <w:rPr/>
        <w:t>the assistant,</w:t>
      </w:r>
      <w:r>
        <w:rPr>
          <w:spacing w:val="-3"/>
        </w:rPr>
        <w:t> </w:t>
      </w:r>
      <w:r>
        <w:rPr/>
        <w:t>associate, or full levels.</w:t>
      </w:r>
      <w:hyperlink w:history="true" w:anchor="_bookmark2">
        <w:r>
          <w:rPr>
            <w:vertAlign w:val="superscript"/>
          </w:rPr>
          <w:t>3</w:t>
        </w:r>
      </w:hyperlink>
      <w:r>
        <w:rPr>
          <w:spacing w:val="-3"/>
          <w:vertAlign w:val="baseline"/>
        </w:rPr>
        <w:t> </w:t>
      </w:r>
      <w:r>
        <w:rPr>
          <w:vertAlign w:val="baseline"/>
        </w:rPr>
        <w:t>Generally, rank is based on degree, academic experience, and prior performance that exceeds the expectations articulated in Section III Promotion in Rank. Initial appointments at full rank (</w:t>
      </w:r>
      <w:r>
        <w:rPr>
          <w:i/>
          <w:vertAlign w:val="baseline"/>
        </w:rPr>
        <w:t>i.e.</w:t>
      </w:r>
      <w:r>
        <w:rPr>
          <w:vertAlign w:val="baseline"/>
        </w:rPr>
        <w:t>, Clinical Professor rank), are seldom made. Regardless of the rank at which a Clinical faculty member is initially</w:t>
      </w:r>
      <w:r>
        <w:rPr>
          <w:spacing w:val="-5"/>
          <w:vertAlign w:val="baseline"/>
        </w:rPr>
        <w:t> </w:t>
      </w:r>
      <w:r>
        <w:rPr>
          <w:vertAlign w:val="baseline"/>
        </w:rPr>
        <w:t>appointed,</w:t>
      </w:r>
      <w:r>
        <w:rPr>
          <w:spacing w:val="-4"/>
          <w:vertAlign w:val="baseline"/>
        </w:rPr>
        <w:t> </w:t>
      </w:r>
      <w:r>
        <w:rPr>
          <w:vertAlign w:val="baseline"/>
        </w:rPr>
        <w:t>successful</w:t>
      </w:r>
      <w:r>
        <w:rPr>
          <w:spacing w:val="-1"/>
          <w:vertAlign w:val="baseline"/>
        </w:rPr>
        <w:t> </w:t>
      </w:r>
      <w:r>
        <w:rPr>
          <w:vertAlign w:val="baseline"/>
        </w:rPr>
        <w:t>completion</w:t>
      </w:r>
      <w:r>
        <w:rPr>
          <w:spacing w:val="-3"/>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probationary</w:t>
      </w:r>
      <w:r>
        <w:rPr>
          <w:spacing w:val="-5"/>
          <w:vertAlign w:val="baseline"/>
        </w:rPr>
        <w:t> </w:t>
      </w:r>
      <w:r>
        <w:rPr>
          <w:vertAlign w:val="baseline"/>
        </w:rPr>
        <w:t>period</w:t>
      </w:r>
      <w:r>
        <w:rPr>
          <w:spacing w:val="-3"/>
          <w:vertAlign w:val="baseline"/>
        </w:rPr>
        <w:t> </w:t>
      </w:r>
      <w:r>
        <w:rPr>
          <w:vertAlign w:val="baseline"/>
        </w:rPr>
        <w:t>outlined</w:t>
      </w:r>
      <w:r>
        <w:rPr>
          <w:spacing w:val="-3"/>
          <w:vertAlign w:val="baseline"/>
        </w:rPr>
        <w:t> </w:t>
      </w:r>
      <w:r>
        <w:rPr>
          <w:vertAlign w:val="baseline"/>
        </w:rPr>
        <w:t>in</w:t>
      </w:r>
      <w:r>
        <w:rPr>
          <w:spacing w:val="-3"/>
          <w:vertAlign w:val="baseline"/>
        </w:rPr>
        <w:t> </w:t>
      </w:r>
      <w:r>
        <w:rPr>
          <w:vertAlign w:val="baseline"/>
        </w:rPr>
        <w:t>the</w:t>
      </w:r>
      <w:r>
        <w:rPr>
          <w:spacing w:val="-1"/>
          <w:vertAlign w:val="baseline"/>
        </w:rPr>
        <w:t> </w:t>
      </w:r>
      <w:r>
        <w:rPr>
          <w:vertAlign w:val="baseline"/>
        </w:rPr>
        <w:t>immediately following subsection of this document will be expected before he or she receives a non- probationary long-term appointment (</w:t>
      </w:r>
      <w:r>
        <w:rPr>
          <w:i/>
          <w:vertAlign w:val="baseline"/>
        </w:rPr>
        <w:t>IU Policy ACA-18).</w:t>
      </w:r>
    </w:p>
    <w:p>
      <w:pPr>
        <w:pStyle w:val="BodyText"/>
        <w:spacing w:before="1"/>
        <w:rPr>
          <w:i/>
        </w:rPr>
      </w:pPr>
    </w:p>
    <w:p>
      <w:pPr>
        <w:pStyle w:val="BodyText"/>
        <w:ind w:left="119" w:right="475" w:firstLine="720"/>
        <w:jc w:val="both"/>
      </w:pPr>
      <w:r>
        <w:rPr/>
        <w:t>Kelley</w:t>
      </w:r>
      <w:r>
        <w:rPr>
          <w:spacing w:val="-1"/>
        </w:rPr>
        <w:t> </w:t>
      </w:r>
      <w:r>
        <w:rPr/>
        <w:t>School policy</w:t>
      </w:r>
      <w:r>
        <w:rPr>
          <w:spacing w:val="-1"/>
        </w:rPr>
        <w:t> </w:t>
      </w:r>
      <w:r>
        <w:rPr/>
        <w:t>requires</w:t>
      </w:r>
      <w:r>
        <w:rPr>
          <w:spacing w:val="-1"/>
        </w:rPr>
        <w:t> </w:t>
      </w:r>
      <w:r>
        <w:rPr/>
        <w:t>a vote</w:t>
      </w:r>
      <w:r>
        <w:rPr>
          <w:spacing w:val="-2"/>
        </w:rPr>
        <w:t> </w:t>
      </w:r>
      <w:r>
        <w:rPr/>
        <w:t>by</w:t>
      </w:r>
      <w:r>
        <w:rPr>
          <w:spacing w:val="-1"/>
        </w:rPr>
        <w:t> </w:t>
      </w:r>
      <w:r>
        <w:rPr/>
        <w:t>appropriate members</w:t>
      </w:r>
      <w:r>
        <w:rPr>
          <w:spacing w:val="-1"/>
        </w:rPr>
        <w:t> </w:t>
      </w:r>
      <w:r>
        <w:rPr/>
        <w:t>of</w:t>
      </w:r>
      <w:r>
        <w:rPr>
          <w:spacing w:val="-2"/>
        </w:rPr>
        <w:t> </w:t>
      </w:r>
      <w:r>
        <w:rPr/>
        <w:t>the relevant academic department</w:t>
      </w:r>
      <w:r>
        <w:rPr>
          <w:spacing w:val="-3"/>
        </w:rPr>
        <w:t> </w:t>
      </w:r>
      <w:r>
        <w:rPr/>
        <w:t>holding</w:t>
      </w:r>
      <w:r>
        <w:rPr>
          <w:spacing w:val="-4"/>
        </w:rPr>
        <w:t> </w:t>
      </w:r>
      <w:r>
        <w:rPr/>
        <w:t>long-term</w:t>
      </w:r>
      <w:r>
        <w:rPr>
          <w:spacing w:val="-4"/>
        </w:rPr>
        <w:t> </w:t>
      </w:r>
      <w:r>
        <w:rPr/>
        <w:t>appointments</w:t>
      </w:r>
      <w:r>
        <w:rPr>
          <w:spacing w:val="-4"/>
        </w:rPr>
        <w:t> </w:t>
      </w:r>
      <w:r>
        <w:rPr/>
        <w:t>on</w:t>
      </w:r>
      <w:r>
        <w:rPr>
          <w:spacing w:val="-5"/>
        </w:rPr>
        <w:t> </w:t>
      </w:r>
      <w:r>
        <w:rPr/>
        <w:t>whether</w:t>
      </w:r>
      <w:r>
        <w:rPr>
          <w:spacing w:val="-1"/>
        </w:rPr>
        <w:t> </w:t>
      </w:r>
      <w:r>
        <w:rPr/>
        <w:t>to</w:t>
      </w:r>
      <w:r>
        <w:rPr>
          <w:spacing w:val="-1"/>
        </w:rPr>
        <w:t> </w:t>
      </w:r>
      <w:r>
        <w:rPr/>
        <w:t>recommend</w:t>
      </w:r>
      <w:r>
        <w:rPr>
          <w:spacing w:val="-3"/>
        </w:rPr>
        <w:t> </w:t>
      </w:r>
      <w:r>
        <w:rPr/>
        <w:t>to</w:t>
      </w:r>
      <w:r>
        <w:rPr>
          <w:spacing w:val="-3"/>
        </w:rPr>
        <w:t> </w:t>
      </w:r>
      <w:r>
        <w:rPr/>
        <w:t>the</w:t>
      </w:r>
      <w:r>
        <w:rPr>
          <w:spacing w:val="-3"/>
        </w:rPr>
        <w:t> </w:t>
      </w:r>
      <w:r>
        <w:rPr/>
        <w:t>Dean’s</w:t>
      </w:r>
      <w:r>
        <w:rPr>
          <w:spacing w:val="-2"/>
        </w:rPr>
        <w:t> </w:t>
      </w:r>
      <w:r>
        <w:rPr/>
        <w:t>Office, that a certain candidate be hired for a Clinical faculty position.</w:t>
      </w:r>
    </w:p>
    <w:p>
      <w:pPr>
        <w:pStyle w:val="ListParagraph"/>
        <w:numPr>
          <w:ilvl w:val="2"/>
          <w:numId w:val="1"/>
        </w:numPr>
        <w:tabs>
          <w:tab w:pos="1559" w:val="left" w:leader="none"/>
        </w:tabs>
        <w:spacing w:line="242" w:lineRule="auto" w:before="0" w:after="0"/>
        <w:ind w:left="1559" w:right="654" w:hanging="360"/>
        <w:jc w:val="left"/>
        <w:rPr>
          <w:rFonts w:ascii="Symbol" w:hAnsi="Symbol"/>
          <w:sz w:val="24"/>
        </w:rPr>
      </w:pPr>
      <w:r>
        <w:rPr>
          <w:sz w:val="24"/>
        </w:rPr>
        <w:t>Faculty</w:t>
      </w:r>
      <w:r>
        <w:rPr>
          <w:spacing w:val="-4"/>
          <w:sz w:val="24"/>
        </w:rPr>
        <w:t> </w:t>
      </w:r>
      <w:r>
        <w:rPr>
          <w:sz w:val="24"/>
        </w:rPr>
        <w:t>eligible</w:t>
      </w:r>
      <w:r>
        <w:rPr>
          <w:spacing w:val="-5"/>
          <w:sz w:val="24"/>
        </w:rPr>
        <w:t> </w:t>
      </w:r>
      <w:r>
        <w:rPr>
          <w:sz w:val="24"/>
        </w:rPr>
        <w:t>to</w:t>
      </w:r>
      <w:r>
        <w:rPr>
          <w:spacing w:val="-5"/>
          <w:sz w:val="24"/>
        </w:rPr>
        <w:t> </w:t>
      </w:r>
      <w:r>
        <w:rPr>
          <w:sz w:val="24"/>
        </w:rPr>
        <w:t>vote</w:t>
      </w:r>
      <w:r>
        <w:rPr>
          <w:spacing w:val="-6"/>
          <w:sz w:val="24"/>
        </w:rPr>
        <w:t> </w:t>
      </w:r>
      <w:r>
        <w:rPr>
          <w:sz w:val="24"/>
        </w:rPr>
        <w:t>for</w:t>
      </w:r>
      <w:r>
        <w:rPr>
          <w:spacing w:val="-3"/>
          <w:sz w:val="24"/>
        </w:rPr>
        <w:t> </w:t>
      </w:r>
      <w:r>
        <w:rPr>
          <w:sz w:val="24"/>
        </w:rPr>
        <w:t>hiring</w:t>
      </w:r>
      <w:r>
        <w:rPr>
          <w:spacing w:val="-4"/>
          <w:sz w:val="24"/>
        </w:rPr>
        <w:t> </w:t>
      </w:r>
      <w:r>
        <w:rPr>
          <w:sz w:val="24"/>
        </w:rPr>
        <w:t>a</w:t>
      </w:r>
      <w:r>
        <w:rPr>
          <w:spacing w:val="-3"/>
          <w:sz w:val="24"/>
        </w:rPr>
        <w:t> </w:t>
      </w:r>
      <w:r>
        <w:rPr>
          <w:sz w:val="24"/>
        </w:rPr>
        <w:t>clinical</w:t>
      </w:r>
      <w:r>
        <w:rPr>
          <w:spacing w:val="-3"/>
          <w:sz w:val="24"/>
        </w:rPr>
        <w:t> </w:t>
      </w:r>
      <w:r>
        <w:rPr>
          <w:sz w:val="24"/>
        </w:rPr>
        <w:t>assistant</w:t>
      </w:r>
      <w:r>
        <w:rPr>
          <w:spacing w:val="-2"/>
          <w:sz w:val="24"/>
        </w:rPr>
        <w:t> </w:t>
      </w:r>
      <w:r>
        <w:rPr>
          <w:sz w:val="24"/>
        </w:rPr>
        <w:t>professor</w:t>
      </w:r>
      <w:r>
        <w:rPr>
          <w:spacing w:val="-3"/>
          <w:sz w:val="24"/>
        </w:rPr>
        <w:t> </w:t>
      </w:r>
      <w:r>
        <w:rPr>
          <w:sz w:val="24"/>
        </w:rPr>
        <w:t>position</w:t>
      </w:r>
      <w:r>
        <w:rPr>
          <w:spacing w:val="-3"/>
          <w:sz w:val="24"/>
        </w:rPr>
        <w:t> </w:t>
      </w:r>
      <w:r>
        <w:rPr>
          <w:sz w:val="24"/>
        </w:rPr>
        <w:t>are</w:t>
      </w:r>
      <w:r>
        <w:rPr>
          <w:spacing w:val="-5"/>
          <w:sz w:val="24"/>
        </w:rPr>
        <w:t> </w:t>
      </w:r>
      <w:r>
        <w:rPr>
          <w:sz w:val="24"/>
        </w:rPr>
        <w:t>the department’s tenure-related faculty (all ranks) and clinical faculty (all ranks).</w:t>
      </w:r>
    </w:p>
    <w:p>
      <w:pPr>
        <w:pStyle w:val="ListParagraph"/>
        <w:numPr>
          <w:ilvl w:val="2"/>
          <w:numId w:val="1"/>
        </w:numPr>
        <w:tabs>
          <w:tab w:pos="1559" w:val="left" w:leader="none"/>
        </w:tabs>
        <w:spacing w:line="240" w:lineRule="auto" w:before="0" w:after="0"/>
        <w:ind w:left="1559" w:right="371" w:hanging="360"/>
        <w:jc w:val="left"/>
        <w:rPr>
          <w:rFonts w:ascii="Symbol" w:hAnsi="Symbol"/>
          <w:sz w:val="24"/>
        </w:rPr>
      </w:pPr>
      <w:r>
        <w:rPr>
          <w:sz w:val="24"/>
        </w:rPr>
        <w:t>Faculty eligible to vote for hiring a clinical associate professor position are the department’s</w:t>
      </w:r>
      <w:r>
        <w:rPr>
          <w:spacing w:val="-7"/>
          <w:sz w:val="24"/>
        </w:rPr>
        <w:t> </w:t>
      </w:r>
      <w:r>
        <w:rPr>
          <w:sz w:val="24"/>
        </w:rPr>
        <w:t>tenured</w:t>
      </w:r>
      <w:r>
        <w:rPr>
          <w:spacing w:val="-6"/>
          <w:sz w:val="24"/>
        </w:rPr>
        <w:t> </w:t>
      </w:r>
      <w:r>
        <w:rPr>
          <w:sz w:val="24"/>
        </w:rPr>
        <w:t>faculty,</w:t>
      </w:r>
      <w:r>
        <w:rPr>
          <w:spacing w:val="-5"/>
          <w:sz w:val="24"/>
        </w:rPr>
        <w:t> </w:t>
      </w:r>
      <w:r>
        <w:rPr>
          <w:sz w:val="24"/>
        </w:rPr>
        <w:t>pre-tenure</w:t>
      </w:r>
      <w:r>
        <w:rPr>
          <w:spacing w:val="-6"/>
          <w:sz w:val="24"/>
        </w:rPr>
        <w:t> </w:t>
      </w:r>
      <w:r>
        <w:rPr>
          <w:sz w:val="24"/>
        </w:rPr>
        <w:t>associate</w:t>
      </w:r>
      <w:r>
        <w:rPr>
          <w:spacing w:val="-6"/>
          <w:sz w:val="24"/>
        </w:rPr>
        <w:t> </w:t>
      </w:r>
      <w:r>
        <w:rPr>
          <w:sz w:val="24"/>
        </w:rPr>
        <w:t>professors,</w:t>
      </w:r>
      <w:r>
        <w:rPr>
          <w:spacing w:val="-5"/>
          <w:sz w:val="24"/>
        </w:rPr>
        <w:t> </w:t>
      </w:r>
      <w:r>
        <w:rPr>
          <w:sz w:val="24"/>
        </w:rPr>
        <w:t>clinical</w:t>
      </w:r>
      <w:r>
        <w:rPr>
          <w:spacing w:val="-5"/>
          <w:sz w:val="24"/>
        </w:rPr>
        <w:t> </w:t>
      </w:r>
      <w:r>
        <w:rPr>
          <w:sz w:val="24"/>
        </w:rPr>
        <w:t>associate professors, and clinical professors.</w:t>
      </w:r>
    </w:p>
    <w:p>
      <w:pPr>
        <w:pStyle w:val="ListParagraph"/>
        <w:numPr>
          <w:ilvl w:val="2"/>
          <w:numId w:val="1"/>
        </w:numPr>
        <w:tabs>
          <w:tab w:pos="1559" w:val="left" w:leader="none"/>
        </w:tabs>
        <w:spacing w:line="240" w:lineRule="auto" w:before="0" w:after="0"/>
        <w:ind w:left="1559" w:right="192" w:hanging="360"/>
        <w:jc w:val="left"/>
        <w:rPr>
          <w:rFonts w:ascii="Symbol" w:hAnsi="Symbol"/>
          <w:sz w:val="22"/>
        </w:rPr>
      </w:pPr>
      <w:r>
        <w:rPr>
          <w:sz w:val="24"/>
        </w:rPr>
        <w:t>Faculty</w:t>
      </w:r>
      <w:r>
        <w:rPr>
          <w:spacing w:val="-3"/>
          <w:sz w:val="24"/>
        </w:rPr>
        <w:t> </w:t>
      </w:r>
      <w:r>
        <w:rPr>
          <w:sz w:val="24"/>
        </w:rPr>
        <w:t>eligible</w:t>
      </w:r>
      <w:r>
        <w:rPr>
          <w:spacing w:val="-4"/>
          <w:sz w:val="24"/>
        </w:rPr>
        <w:t> </w:t>
      </w:r>
      <w:r>
        <w:rPr>
          <w:sz w:val="24"/>
        </w:rPr>
        <w:t>to</w:t>
      </w:r>
      <w:r>
        <w:rPr>
          <w:spacing w:val="-4"/>
          <w:sz w:val="24"/>
        </w:rPr>
        <w:t> </w:t>
      </w:r>
      <w:r>
        <w:rPr>
          <w:sz w:val="24"/>
        </w:rPr>
        <w:t>vote</w:t>
      </w:r>
      <w:r>
        <w:rPr>
          <w:spacing w:val="-4"/>
          <w:sz w:val="24"/>
        </w:rPr>
        <w:t> </w:t>
      </w:r>
      <w:r>
        <w:rPr>
          <w:sz w:val="24"/>
        </w:rPr>
        <w:t>for</w:t>
      </w:r>
      <w:r>
        <w:rPr>
          <w:spacing w:val="-2"/>
          <w:sz w:val="24"/>
        </w:rPr>
        <w:t> </w:t>
      </w:r>
      <w:r>
        <w:rPr>
          <w:sz w:val="24"/>
        </w:rPr>
        <w:t>hiring</w:t>
      </w:r>
      <w:r>
        <w:rPr>
          <w:spacing w:val="-3"/>
          <w:sz w:val="24"/>
        </w:rPr>
        <w:t> </w:t>
      </w:r>
      <w:r>
        <w:rPr>
          <w:sz w:val="24"/>
        </w:rPr>
        <w:t>a</w:t>
      </w:r>
      <w:r>
        <w:rPr>
          <w:spacing w:val="-2"/>
          <w:sz w:val="24"/>
        </w:rPr>
        <w:t> </w:t>
      </w:r>
      <w:r>
        <w:rPr>
          <w:sz w:val="24"/>
        </w:rPr>
        <w:t>clinical</w:t>
      </w:r>
      <w:r>
        <w:rPr>
          <w:spacing w:val="-2"/>
          <w:sz w:val="24"/>
        </w:rPr>
        <w:t> </w:t>
      </w:r>
      <w:r>
        <w:rPr>
          <w:sz w:val="24"/>
        </w:rPr>
        <w:t>professor</w:t>
      </w:r>
      <w:r>
        <w:rPr>
          <w:spacing w:val="-2"/>
          <w:sz w:val="24"/>
        </w:rPr>
        <w:t> </w:t>
      </w:r>
      <w:r>
        <w:rPr>
          <w:sz w:val="24"/>
        </w:rPr>
        <w:t>are</w:t>
      </w:r>
      <w:r>
        <w:rPr>
          <w:spacing w:val="-4"/>
          <w:sz w:val="24"/>
        </w:rPr>
        <w:t> </w:t>
      </w:r>
      <w:r>
        <w:rPr>
          <w:sz w:val="24"/>
        </w:rPr>
        <w:t>the</w:t>
      </w:r>
      <w:r>
        <w:rPr>
          <w:spacing w:val="-4"/>
          <w:sz w:val="24"/>
        </w:rPr>
        <w:t> </w:t>
      </w:r>
      <w:r>
        <w:rPr>
          <w:sz w:val="24"/>
        </w:rPr>
        <w:t>department’s</w:t>
      </w:r>
      <w:r>
        <w:rPr>
          <w:spacing w:val="-8"/>
          <w:sz w:val="24"/>
        </w:rPr>
        <w:t> </w:t>
      </w:r>
      <w:r>
        <w:rPr>
          <w:sz w:val="24"/>
        </w:rPr>
        <w:t>tenured faculty who hold the full rank and clinical faculty who hold the full rank.</w:t>
      </w:r>
    </w:p>
    <w:p>
      <w:pPr>
        <w:pStyle w:val="BodyText"/>
        <w:spacing w:before="286"/>
        <w:ind w:left="120" w:right="182" w:firstLine="720"/>
      </w:pPr>
      <w:r>
        <w:rPr/>
        <w:t>Visiting appointments are used to fill the existence of a teaching need that is temporary or</w:t>
      </w:r>
      <w:r>
        <w:rPr>
          <w:spacing w:val="-1"/>
        </w:rPr>
        <w:t> </w:t>
      </w:r>
      <w:r>
        <w:rPr/>
        <w:t>of uncertain</w:t>
      </w:r>
      <w:r>
        <w:rPr>
          <w:spacing w:val="-3"/>
        </w:rPr>
        <w:t> </w:t>
      </w:r>
      <w:r>
        <w:rPr/>
        <w:t>duration,</w:t>
      </w:r>
      <w:r>
        <w:rPr>
          <w:spacing w:val="-4"/>
        </w:rPr>
        <w:t> </w:t>
      </w:r>
      <w:r>
        <w:rPr/>
        <w:t>or</w:t>
      </w:r>
      <w:r>
        <w:rPr>
          <w:spacing w:val="-1"/>
        </w:rPr>
        <w:t> </w:t>
      </w:r>
      <w:r>
        <w:rPr/>
        <w:t>a</w:t>
      </w:r>
      <w:r>
        <w:rPr>
          <w:spacing w:val="-4"/>
        </w:rPr>
        <w:t> </w:t>
      </w:r>
      <w:r>
        <w:rPr/>
        <w:t>teaching</w:t>
      </w:r>
      <w:r>
        <w:rPr>
          <w:spacing w:val="-4"/>
        </w:rPr>
        <w:t> </w:t>
      </w:r>
      <w:r>
        <w:rPr/>
        <w:t>need</w:t>
      </w:r>
      <w:r>
        <w:rPr>
          <w:spacing w:val="-3"/>
        </w:rPr>
        <w:t> </w:t>
      </w:r>
      <w:r>
        <w:rPr/>
        <w:t>that</w:t>
      </w:r>
      <w:r>
        <w:rPr>
          <w:spacing w:val="-3"/>
        </w:rPr>
        <w:t> </w:t>
      </w:r>
      <w:r>
        <w:rPr/>
        <w:t>arises</w:t>
      </w:r>
      <w:r>
        <w:rPr>
          <w:spacing w:val="-2"/>
        </w:rPr>
        <w:t> </w:t>
      </w:r>
      <w:r>
        <w:rPr/>
        <w:t>with</w:t>
      </w:r>
      <w:r>
        <w:rPr>
          <w:spacing w:val="-3"/>
        </w:rPr>
        <w:t> </w:t>
      </w:r>
      <w:r>
        <w:rPr/>
        <w:t>insufficient</w:t>
      </w:r>
      <w:r>
        <w:rPr>
          <w:spacing w:val="-3"/>
        </w:rPr>
        <w:t> </w:t>
      </w:r>
      <w:r>
        <w:rPr/>
        <w:t>lead time</w:t>
      </w:r>
      <w:r>
        <w:rPr>
          <w:spacing w:val="-3"/>
        </w:rPr>
        <w:t> </w:t>
      </w:r>
      <w:r>
        <w:rPr/>
        <w:t>for</w:t>
      </w:r>
      <w:r>
        <w:rPr>
          <w:spacing w:val="-4"/>
        </w:rPr>
        <w:t> </w:t>
      </w:r>
      <w:r>
        <w:rPr/>
        <w:t>conducting</w:t>
      </w:r>
    </w:p>
    <w:p>
      <w:pPr>
        <w:pStyle w:val="BodyText"/>
        <w:rPr>
          <w:sz w:val="13"/>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116241</wp:posOffset>
                </wp:positionV>
                <wp:extent cx="1828800" cy="762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15291pt;width:144pt;height:.6pt;mso-position-horizontal-relative:page;mso-position-vertical-relative:paragraph;z-index:-15727616;mso-wrap-distance-left:0;mso-wrap-distance-right:0" id="docshape3" filled="true" fillcolor="#000000" stroked="false">
                <v:fill type="solid"/>
                <w10:wrap type="topAndBottom"/>
              </v:rect>
            </w:pict>
          </mc:Fallback>
        </mc:AlternateContent>
      </w:r>
    </w:p>
    <w:p>
      <w:pPr>
        <w:spacing w:before="104"/>
        <w:ind w:left="120" w:right="0" w:hanging="1"/>
        <w:jc w:val="left"/>
        <w:rPr>
          <w:sz w:val="20"/>
        </w:rPr>
      </w:pPr>
      <w:bookmarkStart w:name="_bookmark1" w:id="5"/>
      <w:bookmarkEnd w:id="5"/>
      <w:r>
        <w:rPr/>
      </w:r>
      <w:r>
        <w:rPr>
          <w:sz w:val="20"/>
          <w:vertAlign w:val="superscript"/>
        </w:rPr>
        <w:t>2</w:t>
      </w:r>
      <w:r>
        <w:rPr>
          <w:sz w:val="20"/>
          <w:vertAlign w:val="baseline"/>
        </w:rPr>
        <w:t> Generally, the terminal degree is within the area of teaching from an AACSB accredited institution. However, it is important to recognize that some non-business degrees may be relevant for teaching in certain disciplinary areas of business due to the subject matter content. From time to time, the AACSB or HLC change the classifications and definitions of classifying scholarly activity. Kelley School policies are updated to reflect new classifications and definitions. See the Kelley School of Business – Indianapolis policies related to the HLC faculty guidelines (1) Degree Equivalency for Business School Faculty, (2) Tested Experience” as the Equivalent of a Graduate Degree in Business, and</w:t>
      </w:r>
      <w:r>
        <w:rPr>
          <w:spacing w:val="-3"/>
          <w:sz w:val="20"/>
          <w:vertAlign w:val="baseline"/>
        </w:rPr>
        <w:t> </w:t>
      </w:r>
      <w:r>
        <w:rPr>
          <w:sz w:val="20"/>
          <w:vertAlign w:val="baseline"/>
        </w:rPr>
        <w:t>(3)</w:t>
      </w:r>
      <w:r>
        <w:rPr>
          <w:spacing w:val="-4"/>
          <w:sz w:val="20"/>
          <w:vertAlign w:val="baseline"/>
        </w:rPr>
        <w:t> </w:t>
      </w:r>
      <w:r>
        <w:rPr>
          <w:sz w:val="20"/>
          <w:vertAlign w:val="baseline"/>
        </w:rPr>
        <w:t>Policy</w:t>
      </w:r>
      <w:r>
        <w:rPr>
          <w:spacing w:val="-3"/>
          <w:sz w:val="20"/>
          <w:vertAlign w:val="baseline"/>
        </w:rPr>
        <w:t> </w:t>
      </w:r>
      <w:r>
        <w:rPr>
          <w:sz w:val="20"/>
          <w:vertAlign w:val="baseline"/>
        </w:rPr>
        <w:t>on</w:t>
      </w:r>
      <w:r>
        <w:rPr>
          <w:spacing w:val="-3"/>
          <w:sz w:val="20"/>
          <w:vertAlign w:val="baseline"/>
        </w:rPr>
        <w:t> </w:t>
      </w:r>
      <w:r>
        <w:rPr>
          <w:sz w:val="20"/>
          <w:vertAlign w:val="baseline"/>
        </w:rPr>
        <w:t>Faculty</w:t>
      </w:r>
      <w:r>
        <w:rPr>
          <w:spacing w:val="-3"/>
          <w:sz w:val="20"/>
          <w:vertAlign w:val="baseline"/>
        </w:rPr>
        <w:t> </w:t>
      </w:r>
      <w:r>
        <w:rPr>
          <w:sz w:val="20"/>
          <w:vertAlign w:val="baseline"/>
        </w:rPr>
        <w:t>Qualifications</w:t>
      </w:r>
      <w:r>
        <w:rPr>
          <w:spacing w:val="-3"/>
          <w:sz w:val="20"/>
          <w:vertAlign w:val="baseline"/>
        </w:rPr>
        <w:t> </w:t>
      </w:r>
      <w:r>
        <w:rPr>
          <w:sz w:val="20"/>
          <w:vertAlign w:val="baseline"/>
        </w:rPr>
        <w:t>in</w:t>
      </w:r>
      <w:r>
        <w:rPr>
          <w:spacing w:val="-3"/>
          <w:sz w:val="20"/>
          <w:vertAlign w:val="baseline"/>
        </w:rPr>
        <w:t> </w:t>
      </w:r>
      <w:r>
        <w:rPr>
          <w:sz w:val="20"/>
          <w:vertAlign w:val="baseline"/>
        </w:rPr>
        <w:t>compliance</w:t>
      </w:r>
      <w:r>
        <w:rPr>
          <w:spacing w:val="-5"/>
          <w:sz w:val="20"/>
          <w:vertAlign w:val="baseline"/>
        </w:rPr>
        <w:t> </w:t>
      </w:r>
      <w:r>
        <w:rPr>
          <w:sz w:val="20"/>
          <w:vertAlign w:val="baseline"/>
        </w:rPr>
        <w:t>with</w:t>
      </w:r>
      <w:r>
        <w:rPr>
          <w:spacing w:val="-3"/>
          <w:sz w:val="20"/>
          <w:vertAlign w:val="baseline"/>
        </w:rPr>
        <w:t> </w:t>
      </w:r>
      <w:r>
        <w:rPr>
          <w:sz w:val="20"/>
          <w:vertAlign w:val="baseline"/>
        </w:rPr>
        <w:t>AACSB</w:t>
      </w:r>
      <w:r>
        <w:rPr>
          <w:spacing w:val="-4"/>
          <w:sz w:val="20"/>
          <w:vertAlign w:val="baseline"/>
        </w:rPr>
        <w:t> </w:t>
      </w:r>
      <w:r>
        <w:rPr>
          <w:sz w:val="20"/>
          <w:vertAlign w:val="baseline"/>
        </w:rPr>
        <w:t>International</w:t>
      </w:r>
      <w:r>
        <w:rPr>
          <w:spacing w:val="-4"/>
          <w:sz w:val="20"/>
          <w:vertAlign w:val="baseline"/>
        </w:rPr>
        <w:t> </w:t>
      </w:r>
      <w:r>
        <w:rPr>
          <w:sz w:val="20"/>
          <w:vertAlign w:val="baseline"/>
        </w:rPr>
        <w:t>Accreditation</w:t>
      </w:r>
      <w:r>
        <w:rPr>
          <w:spacing w:val="-3"/>
          <w:sz w:val="20"/>
          <w:vertAlign w:val="baseline"/>
        </w:rPr>
        <w:t> </w:t>
      </w:r>
      <w:r>
        <w:rPr>
          <w:sz w:val="20"/>
          <w:vertAlign w:val="baseline"/>
        </w:rPr>
        <w:t>Standards</w:t>
      </w:r>
      <w:r>
        <w:rPr>
          <w:spacing w:val="-5"/>
          <w:sz w:val="20"/>
          <w:vertAlign w:val="baseline"/>
        </w:rPr>
        <w:t> </w:t>
      </w:r>
      <w:r>
        <w:rPr>
          <w:sz w:val="20"/>
          <w:vertAlign w:val="baseline"/>
        </w:rPr>
        <w:t>Standard</w:t>
      </w:r>
      <w:r>
        <w:rPr>
          <w:spacing w:val="-3"/>
          <w:sz w:val="20"/>
          <w:vertAlign w:val="baseline"/>
        </w:rPr>
        <w:t> </w:t>
      </w:r>
      <w:r>
        <w:rPr>
          <w:sz w:val="20"/>
          <w:vertAlign w:val="baseline"/>
        </w:rPr>
        <w:t>15.</w:t>
      </w:r>
    </w:p>
    <w:p>
      <w:pPr>
        <w:spacing w:before="242"/>
        <w:ind w:left="120" w:right="191" w:hanging="1"/>
        <w:jc w:val="left"/>
        <w:rPr>
          <w:sz w:val="20"/>
        </w:rPr>
      </w:pPr>
      <w:bookmarkStart w:name="_bookmark2" w:id="6"/>
      <w:bookmarkEnd w:id="6"/>
      <w:r>
        <w:rPr/>
      </w:r>
      <w:r>
        <w:rPr>
          <w:rFonts w:ascii="Times New Roman"/>
          <w:position w:val="7"/>
          <w:sz w:val="13"/>
        </w:rPr>
        <w:t>3</w:t>
      </w:r>
      <w:r>
        <w:rPr>
          <w:rFonts w:ascii="Times New Roman"/>
          <w:spacing w:val="14"/>
          <w:position w:val="7"/>
          <w:sz w:val="13"/>
        </w:rPr>
        <w:t> </w:t>
      </w:r>
      <w:r>
        <w:rPr>
          <w:sz w:val="20"/>
        </w:rPr>
        <w:t>Appointment</w:t>
      </w:r>
      <w:r>
        <w:rPr>
          <w:spacing w:val="-3"/>
          <w:sz w:val="20"/>
        </w:rPr>
        <w:t> </w:t>
      </w:r>
      <w:r>
        <w:rPr>
          <w:sz w:val="20"/>
        </w:rPr>
        <w:t>to</w:t>
      </w:r>
      <w:r>
        <w:rPr>
          <w:spacing w:val="-3"/>
          <w:sz w:val="20"/>
        </w:rPr>
        <w:t> </w:t>
      </w:r>
      <w:r>
        <w:rPr>
          <w:sz w:val="20"/>
        </w:rPr>
        <w:t>a</w:t>
      </w:r>
      <w:r>
        <w:rPr>
          <w:spacing w:val="-3"/>
          <w:sz w:val="20"/>
        </w:rPr>
        <w:t> </w:t>
      </w:r>
      <w:r>
        <w:rPr>
          <w:sz w:val="20"/>
        </w:rPr>
        <w:t>Clinical</w:t>
      </w:r>
      <w:r>
        <w:rPr>
          <w:spacing w:val="-3"/>
          <w:sz w:val="20"/>
        </w:rPr>
        <w:t> </w:t>
      </w:r>
      <w:r>
        <w:rPr>
          <w:sz w:val="20"/>
        </w:rPr>
        <w:t>faculty</w:t>
      </w:r>
      <w:r>
        <w:rPr>
          <w:spacing w:val="-2"/>
          <w:sz w:val="20"/>
        </w:rPr>
        <w:t> </w:t>
      </w:r>
      <w:r>
        <w:rPr>
          <w:sz w:val="20"/>
        </w:rPr>
        <w:t>rank</w:t>
      </w:r>
      <w:r>
        <w:rPr>
          <w:spacing w:val="-2"/>
          <w:sz w:val="20"/>
        </w:rPr>
        <w:t> </w:t>
      </w:r>
      <w:r>
        <w:rPr>
          <w:sz w:val="20"/>
        </w:rPr>
        <w:t>is</w:t>
      </w:r>
      <w:r>
        <w:rPr>
          <w:spacing w:val="-4"/>
          <w:sz w:val="20"/>
        </w:rPr>
        <w:t> </w:t>
      </w:r>
      <w:r>
        <w:rPr>
          <w:sz w:val="20"/>
        </w:rPr>
        <w:t>not</w:t>
      </w:r>
      <w:r>
        <w:rPr>
          <w:spacing w:val="-3"/>
          <w:sz w:val="20"/>
        </w:rPr>
        <w:t> </w:t>
      </w:r>
      <w:r>
        <w:rPr>
          <w:sz w:val="20"/>
        </w:rPr>
        <w:t>a</w:t>
      </w:r>
      <w:r>
        <w:rPr>
          <w:spacing w:val="-5"/>
          <w:sz w:val="20"/>
        </w:rPr>
        <w:t> </w:t>
      </w:r>
      <w:r>
        <w:rPr>
          <w:sz w:val="20"/>
        </w:rPr>
        <w:t>natural</w:t>
      </w:r>
      <w:r>
        <w:rPr>
          <w:spacing w:val="-3"/>
          <w:sz w:val="20"/>
        </w:rPr>
        <w:t> </w:t>
      </w:r>
      <w:r>
        <w:rPr>
          <w:sz w:val="20"/>
        </w:rPr>
        <w:t>progression</w:t>
      </w:r>
      <w:r>
        <w:rPr>
          <w:spacing w:val="-2"/>
          <w:sz w:val="20"/>
        </w:rPr>
        <w:t> </w:t>
      </w:r>
      <w:r>
        <w:rPr>
          <w:sz w:val="20"/>
        </w:rPr>
        <w:t>for</w:t>
      </w:r>
      <w:r>
        <w:rPr>
          <w:spacing w:val="-3"/>
          <w:sz w:val="20"/>
        </w:rPr>
        <w:t> </w:t>
      </w:r>
      <w:r>
        <w:rPr>
          <w:sz w:val="20"/>
        </w:rPr>
        <w:t>faculty</w:t>
      </w:r>
      <w:r>
        <w:rPr>
          <w:spacing w:val="-2"/>
          <w:sz w:val="20"/>
        </w:rPr>
        <w:t> </w:t>
      </w:r>
      <w:r>
        <w:rPr>
          <w:sz w:val="20"/>
        </w:rPr>
        <w:t>members</w:t>
      </w:r>
      <w:r>
        <w:rPr>
          <w:spacing w:val="-2"/>
          <w:sz w:val="20"/>
        </w:rPr>
        <w:t> </w:t>
      </w:r>
      <w:r>
        <w:rPr>
          <w:sz w:val="20"/>
        </w:rPr>
        <w:t>holding</w:t>
      </w:r>
      <w:r>
        <w:rPr>
          <w:spacing w:val="-3"/>
          <w:sz w:val="20"/>
        </w:rPr>
        <w:t> </w:t>
      </w:r>
      <w:r>
        <w:rPr>
          <w:sz w:val="20"/>
        </w:rPr>
        <w:t>a</w:t>
      </w:r>
      <w:r>
        <w:rPr>
          <w:spacing w:val="-3"/>
          <w:sz w:val="20"/>
        </w:rPr>
        <w:t> </w:t>
      </w:r>
      <w:r>
        <w:rPr>
          <w:sz w:val="20"/>
        </w:rPr>
        <w:t>lecturer,</w:t>
      </w:r>
      <w:r>
        <w:rPr>
          <w:spacing w:val="-2"/>
          <w:sz w:val="20"/>
        </w:rPr>
        <w:t> </w:t>
      </w:r>
      <w:r>
        <w:rPr>
          <w:sz w:val="20"/>
        </w:rPr>
        <w:t>senior lecturer, or teaching professor position.</w:t>
      </w:r>
    </w:p>
    <w:p>
      <w:pPr>
        <w:spacing w:after="0"/>
        <w:jc w:val="left"/>
        <w:rPr>
          <w:sz w:val="20"/>
        </w:rPr>
        <w:sectPr>
          <w:pgSz w:w="12240" w:h="15840"/>
          <w:pgMar w:header="0" w:footer="1712" w:top="1740" w:bottom="1980" w:left="1320" w:right="1180"/>
        </w:sectPr>
      </w:pPr>
    </w:p>
    <w:p>
      <w:pPr>
        <w:pStyle w:val="BodyText"/>
        <w:spacing w:before="39"/>
        <w:ind w:left="120"/>
      </w:pPr>
      <w:r>
        <w:rPr/>
        <w:t>a search. See </w:t>
      </w:r>
      <w:r>
        <w:rPr>
          <w:i/>
        </w:rPr>
        <w:t>University Policy ACA-14</w:t>
      </w:r>
      <w:r>
        <w:rPr/>
        <w:t>. Visiting clinical appointments typically have the same teaching</w:t>
      </w:r>
      <w:r>
        <w:rPr>
          <w:spacing w:val="-3"/>
        </w:rPr>
        <w:t> </w:t>
      </w:r>
      <w:r>
        <w:rPr/>
        <w:t>load</w:t>
      </w:r>
      <w:r>
        <w:rPr>
          <w:spacing w:val="-1"/>
        </w:rPr>
        <w:t> </w:t>
      </w:r>
      <w:r>
        <w:rPr/>
        <w:t>as</w:t>
      </w:r>
      <w:r>
        <w:rPr>
          <w:spacing w:val="-5"/>
        </w:rPr>
        <w:t> </w:t>
      </w:r>
      <w:r>
        <w:rPr/>
        <w:t>non-visiting</w:t>
      </w:r>
      <w:r>
        <w:rPr>
          <w:spacing w:val="-3"/>
        </w:rPr>
        <w:t> </w:t>
      </w:r>
      <w:r>
        <w:rPr/>
        <w:t>Clinical</w:t>
      </w:r>
      <w:r>
        <w:rPr>
          <w:spacing w:val="-2"/>
        </w:rPr>
        <w:t> </w:t>
      </w:r>
      <w:r>
        <w:rPr/>
        <w:t>faculty.</w:t>
      </w:r>
      <w:r>
        <w:rPr>
          <w:spacing w:val="-3"/>
        </w:rPr>
        <w:t> </w:t>
      </w:r>
      <w:r>
        <w:rPr/>
        <w:t>Voting</w:t>
      </w:r>
      <w:r>
        <w:rPr>
          <w:spacing w:val="-3"/>
        </w:rPr>
        <w:t> </w:t>
      </w:r>
      <w:r>
        <w:rPr/>
        <w:t>by</w:t>
      </w:r>
      <w:r>
        <w:rPr>
          <w:spacing w:val="-6"/>
        </w:rPr>
        <w:t> </w:t>
      </w:r>
      <w:r>
        <w:rPr/>
        <w:t>department</w:t>
      </w:r>
      <w:r>
        <w:rPr>
          <w:spacing w:val="-1"/>
        </w:rPr>
        <w:t> </w:t>
      </w:r>
      <w:r>
        <w:rPr/>
        <w:t>members</w:t>
      </w:r>
      <w:r>
        <w:rPr>
          <w:spacing w:val="-3"/>
        </w:rPr>
        <w:t> </w:t>
      </w:r>
      <w:r>
        <w:rPr/>
        <w:t>does</w:t>
      </w:r>
      <w:r>
        <w:rPr>
          <w:spacing w:val="-3"/>
        </w:rPr>
        <w:t> </w:t>
      </w:r>
      <w:r>
        <w:rPr/>
        <w:t>not</w:t>
      </w:r>
      <w:r>
        <w:rPr>
          <w:spacing w:val="-4"/>
        </w:rPr>
        <w:t> </w:t>
      </w:r>
      <w:r>
        <w:rPr/>
        <w:t>apply</w:t>
      </w:r>
      <w:r>
        <w:rPr>
          <w:spacing w:val="-3"/>
        </w:rPr>
        <w:t> </w:t>
      </w:r>
      <w:r>
        <w:rPr/>
        <w:t>to instances in which the Executive Associate Dean makes a recommendation to hire a particular candidate for</w:t>
      </w:r>
      <w:r>
        <w:rPr>
          <w:spacing w:val="-1"/>
        </w:rPr>
        <w:t> </w:t>
      </w:r>
      <w:r>
        <w:rPr/>
        <w:t>a visiting clinical faculty</w:t>
      </w:r>
      <w:r>
        <w:rPr>
          <w:spacing w:val="-2"/>
        </w:rPr>
        <w:t> </w:t>
      </w:r>
      <w:r>
        <w:rPr/>
        <w:t>position. A</w:t>
      </w:r>
      <w:r>
        <w:rPr>
          <w:spacing w:val="-3"/>
        </w:rPr>
        <w:t> </w:t>
      </w:r>
      <w:r>
        <w:rPr/>
        <w:t>visiting appointment normally cannot extend beyond two years. </w:t>
      </w:r>
      <w:r>
        <w:rPr>
          <w:i/>
        </w:rPr>
        <w:t>University Policy ACA-14</w:t>
      </w:r>
      <w:r>
        <w:rPr/>
        <w:t>.</w:t>
      </w:r>
    </w:p>
    <w:p>
      <w:pPr>
        <w:pStyle w:val="BodyText"/>
        <w:spacing w:before="40"/>
      </w:pPr>
    </w:p>
    <w:p>
      <w:pPr>
        <w:pStyle w:val="Heading1"/>
        <w:numPr>
          <w:ilvl w:val="1"/>
          <w:numId w:val="1"/>
        </w:numPr>
        <w:tabs>
          <w:tab w:pos="478" w:val="left" w:leader="none"/>
        </w:tabs>
        <w:spacing w:line="240" w:lineRule="auto" w:before="0" w:after="0"/>
        <w:ind w:left="478" w:right="0" w:hanging="358"/>
        <w:jc w:val="left"/>
      </w:pPr>
      <w:bookmarkStart w:name="B. The Probationary Period" w:id="7"/>
      <w:bookmarkEnd w:id="7"/>
      <w:r>
        <w:rPr>
          <w:b w:val="0"/>
        </w:rPr>
      </w:r>
      <w:r>
        <w:rPr/>
        <w:t>The</w:t>
      </w:r>
      <w:r>
        <w:rPr>
          <w:spacing w:val="-2"/>
        </w:rPr>
        <w:t> </w:t>
      </w:r>
      <w:r>
        <w:rPr/>
        <w:t>Probationary</w:t>
      </w:r>
      <w:r>
        <w:rPr>
          <w:spacing w:val="-1"/>
        </w:rPr>
        <w:t> </w:t>
      </w:r>
      <w:r>
        <w:rPr>
          <w:spacing w:val="-2"/>
        </w:rPr>
        <w:t>Period</w:t>
      </w:r>
    </w:p>
    <w:p>
      <w:pPr>
        <w:pStyle w:val="BodyText"/>
        <w:spacing w:before="293"/>
        <w:ind w:left="120" w:right="119" w:firstLine="720"/>
      </w:pPr>
      <w:r>
        <w:rPr/>
        <w:t>Clinical</w:t>
      </w:r>
      <w:r>
        <w:rPr>
          <w:spacing w:val="-2"/>
        </w:rPr>
        <w:t> </w:t>
      </w:r>
      <w:r>
        <w:rPr/>
        <w:t>faculty</w:t>
      </w:r>
      <w:r>
        <w:rPr>
          <w:spacing w:val="-3"/>
        </w:rPr>
        <w:t> </w:t>
      </w:r>
      <w:r>
        <w:rPr/>
        <w:t>members</w:t>
      </w:r>
      <w:r>
        <w:rPr>
          <w:spacing w:val="-8"/>
        </w:rPr>
        <w:t> </w:t>
      </w:r>
      <w:r>
        <w:rPr/>
        <w:t>hired</w:t>
      </w:r>
      <w:r>
        <w:rPr>
          <w:spacing w:val="-4"/>
        </w:rPr>
        <w:t> </w:t>
      </w:r>
      <w:r>
        <w:rPr/>
        <w:t>for</w:t>
      </w:r>
      <w:r>
        <w:rPr>
          <w:spacing w:val="-2"/>
        </w:rPr>
        <w:t> </w:t>
      </w:r>
      <w:r>
        <w:rPr/>
        <w:t>full-time</w:t>
      </w:r>
      <w:r>
        <w:rPr>
          <w:spacing w:val="-4"/>
        </w:rPr>
        <w:t> </w:t>
      </w:r>
      <w:r>
        <w:rPr/>
        <w:t>(non-visiting)</w:t>
      </w:r>
      <w:r>
        <w:rPr>
          <w:spacing w:val="-3"/>
        </w:rPr>
        <w:t> </w:t>
      </w:r>
      <w:r>
        <w:rPr/>
        <w:t>positions</w:t>
      </w:r>
      <w:r>
        <w:rPr>
          <w:spacing w:val="-3"/>
        </w:rPr>
        <w:t> </w:t>
      </w:r>
      <w:r>
        <w:rPr/>
        <w:t>receive</w:t>
      </w:r>
      <w:r>
        <w:rPr>
          <w:spacing w:val="-4"/>
        </w:rPr>
        <w:t> </w:t>
      </w:r>
      <w:r>
        <w:rPr/>
        <w:t>an</w:t>
      </w:r>
      <w:r>
        <w:rPr>
          <w:spacing w:val="-1"/>
        </w:rPr>
        <w:t> </w:t>
      </w:r>
      <w:r>
        <w:rPr/>
        <w:t>initial</w:t>
      </w:r>
      <w:r>
        <w:rPr>
          <w:spacing w:val="-5"/>
        </w:rPr>
        <w:t> </w:t>
      </w:r>
      <w:r>
        <w:rPr/>
        <w:t>3-year probationary appointment, contingent on the effective performance of their duties in teaching and service. This 3-year appointment begins a probationary period, which may be extended beyond the 3-year period through a series of annual reappointments until the time of consideration for a non-probationary long-term appointment. For further information on decisions regarding non-probationary long-term appointments and clinical faculty promotions in rank, see this document’s immediately following subsection (The Post-Probationary Period) and the document’s later Promotions in Rank section.</w:t>
      </w:r>
    </w:p>
    <w:p>
      <w:pPr>
        <w:pStyle w:val="BodyText"/>
      </w:pPr>
    </w:p>
    <w:p>
      <w:pPr>
        <w:pStyle w:val="BodyText"/>
        <w:ind w:left="120" w:right="191" w:firstLine="720"/>
      </w:pPr>
      <w:r>
        <w:rPr/>
        <w:t>Continued strong performances by the Clinical faculty member in teaching and service constitute</w:t>
      </w:r>
      <w:r>
        <w:rPr>
          <w:spacing w:val="-2"/>
        </w:rPr>
        <w:t> </w:t>
      </w:r>
      <w:r>
        <w:rPr/>
        <w:t>a</w:t>
      </w:r>
      <w:r>
        <w:rPr>
          <w:spacing w:val="-5"/>
        </w:rPr>
        <w:t> </w:t>
      </w:r>
      <w:r>
        <w:rPr/>
        <w:t>necessary</w:t>
      </w:r>
      <w:r>
        <w:rPr>
          <w:spacing w:val="-3"/>
        </w:rPr>
        <w:t> </w:t>
      </w:r>
      <w:r>
        <w:rPr/>
        <w:t>condition</w:t>
      </w:r>
      <w:r>
        <w:rPr>
          <w:spacing w:val="-4"/>
        </w:rPr>
        <w:t> </w:t>
      </w:r>
      <w:r>
        <w:rPr/>
        <w:t>for</w:t>
      </w:r>
      <w:r>
        <w:rPr>
          <w:spacing w:val="-2"/>
        </w:rPr>
        <w:t> </w:t>
      </w:r>
      <w:r>
        <w:rPr/>
        <w:t>a</w:t>
      </w:r>
      <w:r>
        <w:rPr>
          <w:spacing w:val="-5"/>
        </w:rPr>
        <w:t> </w:t>
      </w:r>
      <w:r>
        <w:rPr/>
        <w:t>favorable</w:t>
      </w:r>
      <w:r>
        <w:rPr>
          <w:spacing w:val="-4"/>
        </w:rPr>
        <w:t> </w:t>
      </w:r>
      <w:r>
        <w:rPr/>
        <w:t>reappointment</w:t>
      </w:r>
      <w:r>
        <w:rPr>
          <w:spacing w:val="-4"/>
        </w:rPr>
        <w:t> </w:t>
      </w:r>
      <w:r>
        <w:rPr/>
        <w:t>decision</w:t>
      </w:r>
      <w:r>
        <w:rPr>
          <w:spacing w:val="-4"/>
        </w:rPr>
        <w:t> </w:t>
      </w:r>
      <w:r>
        <w:rPr/>
        <w:t>during</w:t>
      </w:r>
      <w:r>
        <w:rPr>
          <w:spacing w:val="-5"/>
        </w:rPr>
        <w:t> </w:t>
      </w:r>
      <w:r>
        <w:rPr/>
        <w:t>the</w:t>
      </w:r>
      <w:r>
        <w:rPr>
          <w:spacing w:val="-2"/>
        </w:rPr>
        <w:t> </w:t>
      </w:r>
      <w:r>
        <w:rPr/>
        <w:t>probationary period. The Clinical faculty member’s teaching and service contributions will be the focus when the Executive Associate Dean prepares the written annual review and makes decisions on reappointments during the probationary period.</w:t>
      </w:r>
    </w:p>
    <w:p>
      <w:pPr>
        <w:pStyle w:val="BodyText"/>
        <w:spacing w:before="292"/>
        <w:ind w:left="120" w:firstLine="360"/>
      </w:pPr>
      <w:r>
        <w:rPr/>
        <w:t>In</w:t>
      </w:r>
      <w:r>
        <w:rPr>
          <w:spacing w:val="-2"/>
        </w:rPr>
        <w:t> </w:t>
      </w:r>
      <w:r>
        <w:rPr/>
        <w:t>addition</w:t>
      </w:r>
      <w:r>
        <w:rPr>
          <w:spacing w:val="-4"/>
        </w:rPr>
        <w:t> </w:t>
      </w:r>
      <w:r>
        <w:rPr/>
        <w:t>to</w:t>
      </w:r>
      <w:r>
        <w:rPr>
          <w:spacing w:val="-4"/>
        </w:rPr>
        <w:t> </w:t>
      </w:r>
      <w:r>
        <w:rPr/>
        <w:t>their</w:t>
      </w:r>
      <w:r>
        <w:rPr>
          <w:spacing w:val="-5"/>
        </w:rPr>
        <w:t> </w:t>
      </w:r>
      <w:r>
        <w:rPr/>
        <w:t>teaching</w:t>
      </w:r>
      <w:r>
        <w:rPr>
          <w:spacing w:val="-3"/>
        </w:rPr>
        <w:t> </w:t>
      </w:r>
      <w:r>
        <w:rPr/>
        <w:t>and</w:t>
      </w:r>
      <w:r>
        <w:rPr>
          <w:spacing w:val="-2"/>
        </w:rPr>
        <w:t> </w:t>
      </w:r>
      <w:r>
        <w:rPr/>
        <w:t>service</w:t>
      </w:r>
      <w:r>
        <w:rPr>
          <w:spacing w:val="-4"/>
        </w:rPr>
        <w:t> </w:t>
      </w:r>
      <w:r>
        <w:rPr/>
        <w:t>contributions</w:t>
      </w:r>
      <w:r>
        <w:rPr>
          <w:spacing w:val="-3"/>
        </w:rPr>
        <w:t> </w:t>
      </w:r>
      <w:r>
        <w:rPr/>
        <w:t>at</w:t>
      </w:r>
      <w:r>
        <w:rPr>
          <w:spacing w:val="-2"/>
        </w:rPr>
        <w:t> </w:t>
      </w:r>
      <w:r>
        <w:rPr/>
        <w:t>Kelley</w:t>
      </w:r>
      <w:r>
        <w:rPr>
          <w:spacing w:val="-3"/>
        </w:rPr>
        <w:t> </w:t>
      </w:r>
      <w:r>
        <w:rPr/>
        <w:t>Indianapolis,</w:t>
      </w:r>
      <w:r>
        <w:rPr>
          <w:spacing w:val="-2"/>
        </w:rPr>
        <w:t> </w:t>
      </w:r>
      <w:r>
        <w:rPr/>
        <w:t>full-time</w:t>
      </w:r>
      <w:r>
        <w:rPr>
          <w:spacing w:val="-3"/>
        </w:rPr>
        <w:t> </w:t>
      </w:r>
      <w:r>
        <w:rPr/>
        <w:t>Clinical faculty with terminal degrees (e.g., PhD, JD) are expected to achieve and maintain Scholarly Academic (SA) status, [as defined jointly by The Association to Advance Collegiate Schools of Business (AACSB)</w:t>
      </w:r>
      <w:r>
        <w:rPr>
          <w:spacing w:val="-13"/>
        </w:rPr>
        <w:t> </w:t>
      </w:r>
      <w:r>
        <w:rPr/>
        <w:t>and the Kelley School of Business], as quickly as possible after their initial appointment.</w:t>
      </w:r>
      <w:r>
        <w:rPr>
          <w:spacing w:val="-2"/>
        </w:rPr>
        <w:t> </w:t>
      </w:r>
      <w:hyperlink w:history="true" w:anchor="_bookmark3">
        <w:r>
          <w:rPr>
            <w:vertAlign w:val="superscript"/>
          </w:rPr>
          <w:t>4</w:t>
        </w:r>
      </w:hyperlink>
      <w:r>
        <w:rPr>
          <w:vertAlign w:val="baseline"/>
        </w:rPr>
        <w:t> The basis for qualification is described in the Indiana University Kelley School of Business Policy on Faculty Qualifications.</w:t>
      </w:r>
    </w:p>
    <w:p>
      <w:pPr>
        <w:pStyle w:val="BodyText"/>
        <w:spacing w:before="1"/>
      </w:pPr>
    </w:p>
    <w:p>
      <w:pPr>
        <w:pStyle w:val="BodyText"/>
        <w:spacing w:before="1"/>
        <w:ind w:left="120" w:right="191" w:firstLine="360"/>
      </w:pPr>
      <w:r>
        <w:rPr/>
        <w:t>Although</w:t>
      </w:r>
      <w:r>
        <w:rPr>
          <w:spacing w:val="-4"/>
        </w:rPr>
        <w:t> </w:t>
      </w:r>
      <w:r>
        <w:rPr/>
        <w:t>the</w:t>
      </w:r>
      <w:r>
        <w:rPr>
          <w:spacing w:val="-4"/>
        </w:rPr>
        <w:t> </w:t>
      </w:r>
      <w:r>
        <w:rPr/>
        <w:t>focus</w:t>
      </w:r>
      <w:r>
        <w:rPr>
          <w:spacing w:val="-3"/>
        </w:rPr>
        <w:t> </w:t>
      </w:r>
      <w:r>
        <w:rPr/>
        <w:t>in</w:t>
      </w:r>
      <w:r>
        <w:rPr>
          <w:spacing w:val="-1"/>
        </w:rPr>
        <w:t> </w:t>
      </w:r>
      <w:r>
        <w:rPr/>
        <w:t>reappointment</w:t>
      </w:r>
      <w:r>
        <w:rPr>
          <w:spacing w:val="-4"/>
        </w:rPr>
        <w:t> </w:t>
      </w:r>
      <w:r>
        <w:rPr/>
        <w:t>decisions</w:t>
      </w:r>
      <w:r>
        <w:rPr>
          <w:spacing w:val="-5"/>
        </w:rPr>
        <w:t> </w:t>
      </w:r>
      <w:r>
        <w:rPr/>
        <w:t>during</w:t>
      </w:r>
      <w:r>
        <w:rPr>
          <w:spacing w:val="-3"/>
        </w:rPr>
        <w:t> </w:t>
      </w:r>
      <w:r>
        <w:rPr/>
        <w:t>the</w:t>
      </w:r>
      <w:r>
        <w:rPr>
          <w:spacing w:val="-4"/>
        </w:rPr>
        <w:t> </w:t>
      </w:r>
      <w:r>
        <w:rPr/>
        <w:t>probationary</w:t>
      </w:r>
      <w:r>
        <w:rPr>
          <w:spacing w:val="-5"/>
        </w:rPr>
        <w:t> </w:t>
      </w:r>
      <w:r>
        <w:rPr/>
        <w:t>period</w:t>
      </w:r>
      <w:r>
        <w:rPr>
          <w:spacing w:val="-1"/>
        </w:rPr>
        <w:t> </w:t>
      </w:r>
      <w:r>
        <w:rPr/>
        <w:t>is</w:t>
      </w:r>
      <w:r>
        <w:rPr>
          <w:spacing w:val="-5"/>
        </w:rPr>
        <w:t> </w:t>
      </w:r>
      <w:r>
        <w:rPr/>
        <w:t>on</w:t>
      </w:r>
      <w:r>
        <w:rPr>
          <w:spacing w:val="-4"/>
        </w:rPr>
        <w:t> </w:t>
      </w:r>
      <w:r>
        <w:rPr/>
        <w:t>whether the Clinical faculty</w:t>
      </w:r>
      <w:r>
        <w:rPr>
          <w:spacing w:val="-1"/>
        </w:rPr>
        <w:t> </w:t>
      </w:r>
      <w:r>
        <w:rPr/>
        <w:t>member has continued to make strong contributions in teaching and service, reappointment decisions</w:t>
      </w:r>
      <w:r>
        <w:rPr>
          <w:spacing w:val="-1"/>
        </w:rPr>
        <w:t> </w:t>
      </w:r>
      <w:r>
        <w:rPr/>
        <w:t>may also involve consideration of discretionary</w:t>
      </w:r>
      <w:r>
        <w:rPr>
          <w:spacing w:val="-2"/>
        </w:rPr>
        <w:t> </w:t>
      </w:r>
      <w:r>
        <w:rPr/>
        <w:t>factors such as</w:t>
      </w:r>
      <w:r>
        <w:rPr>
          <w:spacing w:val="-1"/>
        </w:rPr>
        <w:t> </w:t>
      </w:r>
      <w:r>
        <w:rPr/>
        <w:t>funding constraints and programmatic need. If the Kelley School or the relevant department exercises the discretion to decline reappointment to a Clinical faculty member following the period of the initial 3-year appointment, notice of non-reappointment shall be given in writing at least twelve</w:t>
      </w:r>
    </w:p>
    <w:p>
      <w:pPr>
        <w:pStyle w:val="BodyText"/>
        <w:spacing w:before="10"/>
        <w:rPr>
          <w:sz w:val="15"/>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138355</wp:posOffset>
                </wp:positionV>
                <wp:extent cx="1828800" cy="76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0.894125pt;width:144pt;height:.599pt;mso-position-horizontal-relative:page;mso-position-vertical-relative:paragraph;z-index:-15727104;mso-wrap-distance-left:0;mso-wrap-distance-right:0" id="docshape4" filled="true" fillcolor="#000000" stroked="false">
                <v:fill type="solid"/>
                <w10:wrap type="topAndBottom"/>
              </v:rect>
            </w:pict>
          </mc:Fallback>
        </mc:AlternateContent>
      </w:r>
    </w:p>
    <w:p>
      <w:pPr>
        <w:spacing w:before="140"/>
        <w:ind w:left="120" w:right="182" w:hanging="1"/>
        <w:jc w:val="left"/>
        <w:rPr>
          <w:sz w:val="20"/>
        </w:rPr>
      </w:pPr>
      <w:bookmarkStart w:name="_bookmark3" w:id="8"/>
      <w:bookmarkEnd w:id="8"/>
      <w:r>
        <w:rPr/>
      </w:r>
      <w:r>
        <w:rPr>
          <w:sz w:val="20"/>
          <w:vertAlign w:val="superscript"/>
        </w:rPr>
        <w:t>4</w:t>
      </w:r>
      <w:r>
        <w:rPr>
          <w:sz w:val="20"/>
          <w:vertAlign w:val="baseline"/>
        </w:rPr>
        <w:t> To achieve</w:t>
      </w:r>
      <w:r>
        <w:rPr>
          <w:spacing w:val="-1"/>
          <w:sz w:val="20"/>
          <w:vertAlign w:val="baseline"/>
        </w:rPr>
        <w:t> </w:t>
      </w:r>
      <w:r>
        <w:rPr>
          <w:sz w:val="20"/>
          <w:vertAlign w:val="baseline"/>
        </w:rPr>
        <w:t>Scholarly Academic (SA)</w:t>
      </w:r>
      <w:r>
        <w:rPr>
          <w:spacing w:val="-1"/>
          <w:sz w:val="20"/>
          <w:vertAlign w:val="baseline"/>
        </w:rPr>
        <w:t> </w:t>
      </w:r>
      <w:r>
        <w:rPr>
          <w:sz w:val="20"/>
          <w:vertAlign w:val="baseline"/>
        </w:rPr>
        <w:t>or</w:t>
      </w:r>
      <w:r>
        <w:rPr>
          <w:spacing w:val="-1"/>
          <w:sz w:val="20"/>
          <w:vertAlign w:val="baseline"/>
        </w:rPr>
        <w:t> </w:t>
      </w:r>
      <w:r>
        <w:rPr>
          <w:sz w:val="20"/>
          <w:vertAlign w:val="baseline"/>
        </w:rPr>
        <w:t>Professional</w:t>
      </w:r>
      <w:r>
        <w:rPr>
          <w:spacing w:val="-1"/>
          <w:sz w:val="20"/>
          <w:vertAlign w:val="baseline"/>
        </w:rPr>
        <w:t> </w:t>
      </w:r>
      <w:r>
        <w:rPr>
          <w:sz w:val="20"/>
          <w:vertAlign w:val="baseline"/>
        </w:rPr>
        <w:t>Academic (PA)</w:t>
      </w:r>
      <w:r>
        <w:rPr>
          <w:spacing w:val="-1"/>
          <w:sz w:val="20"/>
          <w:vertAlign w:val="baseline"/>
        </w:rPr>
        <w:t> </w:t>
      </w:r>
      <w:r>
        <w:rPr>
          <w:sz w:val="20"/>
          <w:vertAlign w:val="baseline"/>
        </w:rPr>
        <w:t>status a</w:t>
      </w:r>
      <w:r>
        <w:rPr>
          <w:spacing w:val="-3"/>
          <w:sz w:val="20"/>
          <w:vertAlign w:val="baseline"/>
        </w:rPr>
        <w:t> </w:t>
      </w:r>
      <w:r>
        <w:rPr>
          <w:sz w:val="20"/>
          <w:vertAlign w:val="baseline"/>
        </w:rPr>
        <w:t>faculty member must</w:t>
      </w:r>
      <w:r>
        <w:rPr>
          <w:spacing w:val="-3"/>
          <w:sz w:val="20"/>
          <w:vertAlign w:val="baseline"/>
        </w:rPr>
        <w:t> </w:t>
      </w:r>
      <w:r>
        <w:rPr>
          <w:sz w:val="20"/>
          <w:vertAlign w:val="baseline"/>
        </w:rPr>
        <w:t>have</w:t>
      </w:r>
      <w:r>
        <w:rPr>
          <w:spacing w:val="-1"/>
          <w:sz w:val="20"/>
          <w:vertAlign w:val="baseline"/>
        </w:rPr>
        <w:t> </w:t>
      </w:r>
      <w:r>
        <w:rPr>
          <w:sz w:val="20"/>
          <w:vertAlign w:val="baseline"/>
        </w:rPr>
        <w:t>a terminal degree (e.g., Ph.D. or JD). Faculty without a Ph.D. or JD may be considered for Scholarly Practitioner (SP) or Instructional Practitioner (IP).</w:t>
      </w:r>
      <w:r>
        <w:rPr>
          <w:spacing w:val="40"/>
          <w:sz w:val="20"/>
          <w:vertAlign w:val="baseline"/>
        </w:rPr>
        <w:t> </w:t>
      </w:r>
      <w:r>
        <w:rPr>
          <w:sz w:val="20"/>
          <w:vertAlign w:val="baseline"/>
        </w:rPr>
        <w:t>SA, PA, SP, and IP are terms defined in AACSB documents. From time to time, the AACSB</w:t>
      </w:r>
      <w:r>
        <w:rPr>
          <w:spacing w:val="-3"/>
          <w:sz w:val="20"/>
          <w:vertAlign w:val="baseline"/>
        </w:rPr>
        <w:t> </w:t>
      </w:r>
      <w:r>
        <w:rPr>
          <w:sz w:val="20"/>
          <w:vertAlign w:val="baseline"/>
        </w:rPr>
        <w:t>changes</w:t>
      </w:r>
      <w:r>
        <w:rPr>
          <w:spacing w:val="-2"/>
          <w:sz w:val="20"/>
          <w:vertAlign w:val="baseline"/>
        </w:rPr>
        <w:t> </w:t>
      </w:r>
      <w:r>
        <w:rPr>
          <w:sz w:val="20"/>
          <w:vertAlign w:val="baseline"/>
        </w:rPr>
        <w:t>the</w:t>
      </w:r>
      <w:r>
        <w:rPr>
          <w:spacing w:val="-4"/>
          <w:sz w:val="20"/>
          <w:vertAlign w:val="baseline"/>
        </w:rPr>
        <w:t> </w:t>
      </w:r>
      <w:r>
        <w:rPr>
          <w:sz w:val="20"/>
          <w:vertAlign w:val="baseline"/>
        </w:rPr>
        <w:t>classifications</w:t>
      </w:r>
      <w:r>
        <w:rPr>
          <w:spacing w:val="-2"/>
          <w:sz w:val="20"/>
          <w:vertAlign w:val="baseline"/>
        </w:rPr>
        <w:t> </w:t>
      </w:r>
      <w:r>
        <w:rPr>
          <w:sz w:val="20"/>
          <w:vertAlign w:val="baseline"/>
        </w:rPr>
        <w:t>and</w:t>
      </w:r>
      <w:r>
        <w:rPr>
          <w:spacing w:val="-5"/>
          <w:sz w:val="20"/>
          <w:vertAlign w:val="baseline"/>
        </w:rPr>
        <w:t> </w:t>
      </w:r>
      <w:r>
        <w:rPr>
          <w:sz w:val="20"/>
          <w:vertAlign w:val="baseline"/>
        </w:rPr>
        <w:t>definitions</w:t>
      </w:r>
      <w:r>
        <w:rPr>
          <w:spacing w:val="-2"/>
          <w:sz w:val="20"/>
          <w:vertAlign w:val="baseline"/>
        </w:rPr>
        <w:t> </w:t>
      </w:r>
      <w:r>
        <w:rPr>
          <w:sz w:val="20"/>
          <w:vertAlign w:val="baseline"/>
        </w:rPr>
        <w:t>of</w:t>
      </w:r>
      <w:r>
        <w:rPr>
          <w:spacing w:val="-4"/>
          <w:sz w:val="20"/>
          <w:vertAlign w:val="baseline"/>
        </w:rPr>
        <w:t> </w:t>
      </w:r>
      <w:r>
        <w:rPr>
          <w:sz w:val="20"/>
          <w:vertAlign w:val="baseline"/>
        </w:rPr>
        <w:t>classifying</w:t>
      </w:r>
      <w:r>
        <w:rPr>
          <w:spacing w:val="-3"/>
          <w:sz w:val="20"/>
          <w:vertAlign w:val="baseline"/>
        </w:rPr>
        <w:t> </w:t>
      </w:r>
      <w:r>
        <w:rPr>
          <w:sz w:val="20"/>
          <w:vertAlign w:val="baseline"/>
        </w:rPr>
        <w:t>scholarly</w:t>
      </w:r>
      <w:r>
        <w:rPr>
          <w:spacing w:val="-2"/>
          <w:sz w:val="20"/>
          <w:vertAlign w:val="baseline"/>
        </w:rPr>
        <w:t> </w:t>
      </w:r>
      <w:r>
        <w:rPr>
          <w:sz w:val="20"/>
          <w:vertAlign w:val="baseline"/>
        </w:rPr>
        <w:t>activity.</w:t>
      </w:r>
      <w:r>
        <w:rPr>
          <w:spacing w:val="-3"/>
          <w:sz w:val="20"/>
          <w:vertAlign w:val="baseline"/>
        </w:rPr>
        <w:t> </w:t>
      </w:r>
      <w:r>
        <w:rPr>
          <w:sz w:val="20"/>
          <w:vertAlign w:val="baseline"/>
        </w:rPr>
        <w:t>Kelley</w:t>
      </w:r>
      <w:r>
        <w:rPr>
          <w:spacing w:val="-2"/>
          <w:sz w:val="20"/>
          <w:vertAlign w:val="baseline"/>
        </w:rPr>
        <w:t> </w:t>
      </w:r>
      <w:r>
        <w:rPr>
          <w:sz w:val="20"/>
          <w:vertAlign w:val="baseline"/>
        </w:rPr>
        <w:t>School</w:t>
      </w:r>
      <w:r>
        <w:rPr>
          <w:spacing w:val="-3"/>
          <w:sz w:val="20"/>
          <w:vertAlign w:val="baseline"/>
        </w:rPr>
        <w:t> </w:t>
      </w:r>
      <w:r>
        <w:rPr>
          <w:sz w:val="20"/>
          <w:vertAlign w:val="baseline"/>
        </w:rPr>
        <w:t>policies</w:t>
      </w:r>
      <w:r>
        <w:rPr>
          <w:spacing w:val="-2"/>
          <w:sz w:val="20"/>
          <w:vertAlign w:val="baseline"/>
        </w:rPr>
        <w:t> </w:t>
      </w:r>
      <w:r>
        <w:rPr>
          <w:sz w:val="20"/>
          <w:vertAlign w:val="baseline"/>
        </w:rPr>
        <w:t>are</w:t>
      </w:r>
      <w:r>
        <w:rPr>
          <w:spacing w:val="-4"/>
          <w:sz w:val="20"/>
          <w:vertAlign w:val="baseline"/>
        </w:rPr>
        <w:t> </w:t>
      </w:r>
      <w:r>
        <w:rPr>
          <w:sz w:val="20"/>
          <w:vertAlign w:val="baseline"/>
        </w:rPr>
        <w:t>updated to reflect new classifications and definitions.</w:t>
      </w:r>
    </w:p>
    <w:p>
      <w:pPr>
        <w:spacing w:after="0"/>
        <w:jc w:val="left"/>
        <w:rPr>
          <w:sz w:val="20"/>
        </w:rPr>
        <w:sectPr>
          <w:pgSz w:w="12240" w:h="15840"/>
          <w:pgMar w:header="0" w:footer="1712" w:top="1400" w:bottom="1980" w:left="1320" w:right="1180"/>
        </w:sectPr>
      </w:pPr>
    </w:p>
    <w:p>
      <w:pPr>
        <w:pStyle w:val="BodyText"/>
        <w:spacing w:before="39"/>
        <w:ind w:left="120"/>
      </w:pPr>
      <w:r>
        <w:rPr/>
        <w:t>months</w:t>
      </w:r>
      <w:r>
        <w:rPr>
          <w:spacing w:val="-3"/>
        </w:rPr>
        <w:t> </w:t>
      </w:r>
      <w:r>
        <w:rPr/>
        <w:t>before</w:t>
      </w:r>
      <w:r>
        <w:rPr>
          <w:spacing w:val="-1"/>
        </w:rPr>
        <w:t> </w:t>
      </w:r>
      <w:r>
        <w:rPr/>
        <w:t>the</w:t>
      </w:r>
      <w:r>
        <w:rPr>
          <w:spacing w:val="-1"/>
        </w:rPr>
        <w:t> </w:t>
      </w:r>
      <w:r>
        <w:rPr/>
        <w:t>expiration</w:t>
      </w:r>
      <w:r>
        <w:rPr>
          <w:spacing w:val="-1"/>
        </w:rPr>
        <w:t> </w:t>
      </w:r>
      <w:r>
        <w:rPr/>
        <w:t>of</w:t>
      </w:r>
      <w:r>
        <w:rPr>
          <w:spacing w:val="-1"/>
        </w:rPr>
        <w:t> </w:t>
      </w:r>
      <w:r>
        <w:rPr/>
        <w:t>an</w:t>
      </w:r>
      <w:r>
        <w:rPr>
          <w:spacing w:val="-1"/>
        </w:rPr>
        <w:t> </w:t>
      </w:r>
      <w:r>
        <w:rPr>
          <w:spacing w:val="-2"/>
        </w:rPr>
        <w:t>appointment.</w:t>
      </w:r>
    </w:p>
    <w:p>
      <w:pPr>
        <w:pStyle w:val="BodyText"/>
      </w:pPr>
    </w:p>
    <w:p>
      <w:pPr>
        <w:pStyle w:val="BodyText"/>
        <w:ind w:left="119" w:firstLine="720"/>
      </w:pPr>
      <w:r>
        <w:rPr/>
        <w:t>For purposes of reappointment decisions, the probationary Clinical faculty member’s performance in teaching and service may be evaluated with reference to a number of relevant considerations.</w:t>
      </w:r>
      <w:r>
        <w:rPr>
          <w:spacing w:val="-2"/>
        </w:rPr>
        <w:t> </w:t>
      </w:r>
      <w:r>
        <w:rPr/>
        <w:t>The</w:t>
      </w:r>
      <w:r>
        <w:rPr>
          <w:spacing w:val="-1"/>
        </w:rPr>
        <w:t> </w:t>
      </w:r>
      <w:r>
        <w:rPr/>
        <w:t>following</w:t>
      </w:r>
      <w:r>
        <w:rPr>
          <w:spacing w:val="-2"/>
        </w:rPr>
        <w:t> </w:t>
      </w:r>
      <w:r>
        <w:rPr/>
        <w:t>list of</w:t>
      </w:r>
      <w:r>
        <w:rPr>
          <w:spacing w:val="-3"/>
        </w:rPr>
        <w:t> </w:t>
      </w:r>
      <w:r>
        <w:rPr/>
        <w:t>potentially</w:t>
      </w:r>
      <w:r>
        <w:rPr>
          <w:spacing w:val="-2"/>
        </w:rPr>
        <w:t> </w:t>
      </w:r>
      <w:r>
        <w:rPr/>
        <w:t>relevant</w:t>
      </w:r>
      <w:r>
        <w:rPr>
          <w:spacing w:val="-3"/>
        </w:rPr>
        <w:t> </w:t>
      </w:r>
      <w:r>
        <w:rPr/>
        <w:t>considerations</w:t>
      </w:r>
      <w:r>
        <w:rPr>
          <w:spacing w:val="-4"/>
        </w:rPr>
        <w:t> </w:t>
      </w:r>
      <w:r>
        <w:rPr/>
        <w:t>for</w:t>
      </w:r>
      <w:r>
        <w:rPr>
          <w:spacing w:val="-4"/>
        </w:rPr>
        <w:t> </w:t>
      </w:r>
      <w:r>
        <w:rPr/>
        <w:t>teaching</w:t>
      </w:r>
      <w:r>
        <w:rPr>
          <w:spacing w:val="-2"/>
        </w:rPr>
        <w:t> </w:t>
      </w:r>
      <w:r>
        <w:rPr/>
        <w:t>and</w:t>
      </w:r>
      <w:r>
        <w:rPr>
          <w:spacing w:val="-3"/>
        </w:rPr>
        <w:t> </w:t>
      </w:r>
      <w:r>
        <w:rPr/>
        <w:t>service</w:t>
      </w:r>
      <w:r>
        <w:rPr>
          <w:spacing w:val="-1"/>
        </w:rPr>
        <w:t> </w:t>
      </w:r>
      <w:r>
        <w:rPr/>
        <w:t>is not meant to be all-inclusive. Neither</w:t>
      </w:r>
      <w:r>
        <w:rPr>
          <w:spacing w:val="-1"/>
        </w:rPr>
        <w:t> </w:t>
      </w:r>
      <w:r>
        <w:rPr/>
        <w:t>are they meant to suggest that evidence pertaining</w:t>
      </w:r>
      <w:r>
        <w:rPr>
          <w:spacing w:val="-1"/>
        </w:rPr>
        <w:t> </w:t>
      </w:r>
      <w:r>
        <w:rPr/>
        <w:t>to each consideration must</w:t>
      </w:r>
      <w:r>
        <w:rPr>
          <w:spacing w:val="-3"/>
        </w:rPr>
        <w:t> </w:t>
      </w:r>
      <w:r>
        <w:rPr/>
        <w:t>be</w:t>
      </w:r>
      <w:r>
        <w:rPr>
          <w:spacing w:val="-3"/>
        </w:rPr>
        <w:t> </w:t>
      </w:r>
      <w:r>
        <w:rPr/>
        <w:t>present</w:t>
      </w:r>
      <w:r>
        <w:rPr>
          <w:spacing w:val="-3"/>
        </w:rPr>
        <w:t> </w:t>
      </w:r>
      <w:r>
        <w:rPr/>
        <w:t>in</w:t>
      </w:r>
      <w:r>
        <w:rPr>
          <w:spacing w:val="-3"/>
        </w:rPr>
        <w:t> </w:t>
      </w:r>
      <w:r>
        <w:rPr/>
        <w:t>a</w:t>
      </w:r>
      <w:r>
        <w:rPr>
          <w:spacing w:val="-1"/>
        </w:rPr>
        <w:t> </w:t>
      </w:r>
      <w:r>
        <w:rPr/>
        <w:t>clinical</w:t>
      </w:r>
      <w:r>
        <w:rPr>
          <w:spacing w:val="-4"/>
        </w:rPr>
        <w:t> </w:t>
      </w:r>
      <w:r>
        <w:rPr/>
        <w:t>faculty</w:t>
      </w:r>
      <w:r>
        <w:rPr>
          <w:spacing w:val="-5"/>
        </w:rPr>
        <w:t> </w:t>
      </w:r>
      <w:r>
        <w:rPr/>
        <w:t>member’s</w:t>
      </w:r>
      <w:r>
        <w:rPr>
          <w:spacing w:val="-4"/>
        </w:rPr>
        <w:t> </w:t>
      </w:r>
      <w:r>
        <w:rPr/>
        <w:t>teaching</w:t>
      </w:r>
      <w:r>
        <w:rPr>
          <w:spacing w:val="-4"/>
        </w:rPr>
        <w:t> </w:t>
      </w:r>
      <w:r>
        <w:rPr/>
        <w:t>or</w:t>
      </w:r>
      <w:r>
        <w:rPr>
          <w:spacing w:val="-1"/>
        </w:rPr>
        <w:t> </w:t>
      </w:r>
      <w:r>
        <w:rPr/>
        <w:t>service</w:t>
      </w:r>
      <w:r>
        <w:rPr>
          <w:spacing w:val="-1"/>
        </w:rPr>
        <w:t> </w:t>
      </w:r>
      <w:r>
        <w:rPr/>
        <w:t>record</w:t>
      </w:r>
      <w:r>
        <w:rPr>
          <w:spacing w:val="-3"/>
        </w:rPr>
        <w:t> </w:t>
      </w:r>
      <w:r>
        <w:rPr/>
        <w:t>when</w:t>
      </w:r>
      <w:r>
        <w:rPr>
          <w:spacing w:val="-3"/>
        </w:rPr>
        <w:t> </w:t>
      </w:r>
      <w:r>
        <w:rPr/>
        <w:t>that record</w:t>
      </w:r>
      <w:r>
        <w:rPr>
          <w:spacing w:val="-1"/>
        </w:rPr>
        <w:t> </w:t>
      </w:r>
      <w:r>
        <w:rPr/>
        <w:t>is</w:t>
      </w:r>
      <w:r>
        <w:rPr>
          <w:spacing w:val="-4"/>
        </w:rPr>
        <w:t> </w:t>
      </w:r>
      <w:r>
        <w:rPr/>
        <w:t>being</w:t>
      </w:r>
      <w:r>
        <w:rPr>
          <w:spacing w:val="-2"/>
        </w:rPr>
        <w:t> </w:t>
      </w:r>
      <w:r>
        <w:rPr/>
        <w:t>evaluated.</w:t>
      </w:r>
      <w:r>
        <w:rPr>
          <w:spacing w:val="-2"/>
        </w:rPr>
        <w:t> </w:t>
      </w:r>
      <w:r>
        <w:rPr/>
        <w:t>Considerations</w:t>
      </w:r>
      <w:r>
        <w:rPr>
          <w:spacing w:val="-4"/>
        </w:rPr>
        <w:t> </w:t>
      </w:r>
      <w:r>
        <w:rPr/>
        <w:t>that</w:t>
      </w:r>
      <w:r>
        <w:rPr>
          <w:spacing w:val="-1"/>
        </w:rPr>
        <w:t> </w:t>
      </w:r>
      <w:r>
        <w:rPr/>
        <w:t>may</w:t>
      </w:r>
      <w:r>
        <w:rPr>
          <w:spacing w:val="-2"/>
        </w:rPr>
        <w:t> </w:t>
      </w:r>
      <w:r>
        <w:rPr/>
        <w:t>be</w:t>
      </w:r>
      <w:r>
        <w:rPr>
          <w:spacing w:val="-3"/>
        </w:rPr>
        <w:t> </w:t>
      </w:r>
      <w:r>
        <w:rPr/>
        <w:t>taken</w:t>
      </w:r>
      <w:r>
        <w:rPr>
          <w:spacing w:val="-3"/>
        </w:rPr>
        <w:t> </w:t>
      </w:r>
      <w:r>
        <w:rPr/>
        <w:t>into</w:t>
      </w:r>
      <w:r>
        <w:rPr>
          <w:spacing w:val="-1"/>
        </w:rPr>
        <w:t> </w:t>
      </w:r>
      <w:r>
        <w:rPr/>
        <w:t>account</w:t>
      </w:r>
      <w:r>
        <w:rPr>
          <w:spacing w:val="-5"/>
        </w:rPr>
        <w:t> </w:t>
      </w:r>
      <w:r>
        <w:rPr/>
        <w:t>for</w:t>
      </w:r>
      <w:r>
        <w:rPr>
          <w:spacing w:val="-4"/>
        </w:rPr>
        <w:t> </w:t>
      </w:r>
      <w:r>
        <w:rPr/>
        <w:t>teaching</w:t>
      </w:r>
      <w:r>
        <w:rPr>
          <w:spacing w:val="-2"/>
        </w:rPr>
        <w:t> </w:t>
      </w:r>
      <w:r>
        <w:rPr/>
        <w:t>include</w:t>
      </w:r>
      <w:r>
        <w:rPr>
          <w:spacing w:val="-1"/>
        </w:rPr>
        <w:t> </w:t>
      </w:r>
      <w:r>
        <w:rPr/>
        <w:t>the </w:t>
      </w:r>
      <w:r>
        <w:rPr>
          <w:spacing w:val="-2"/>
        </w:rPr>
        <w:t>following:</w:t>
      </w:r>
    </w:p>
    <w:p>
      <w:pPr>
        <w:pStyle w:val="BodyText"/>
        <w:spacing w:before="1"/>
      </w:pPr>
    </w:p>
    <w:p>
      <w:pPr>
        <w:pStyle w:val="Heading2"/>
        <w:spacing w:line="292" w:lineRule="exact"/>
        <w:rPr>
          <w:i/>
        </w:rPr>
      </w:pPr>
      <w:r>
        <w:rPr>
          <w:i/>
          <w:spacing w:val="-2"/>
        </w:rPr>
        <w:t>Teaching</w:t>
      </w:r>
    </w:p>
    <w:p>
      <w:pPr>
        <w:pStyle w:val="ListParagraph"/>
        <w:numPr>
          <w:ilvl w:val="0"/>
          <w:numId w:val="2"/>
        </w:numPr>
        <w:tabs>
          <w:tab w:pos="839" w:val="left" w:leader="none"/>
        </w:tabs>
        <w:spacing w:line="305" w:lineRule="exact" w:before="0" w:after="0"/>
        <w:ind w:left="839" w:right="0" w:hanging="360"/>
        <w:jc w:val="left"/>
        <w:rPr>
          <w:sz w:val="24"/>
        </w:rPr>
      </w:pPr>
      <w:r>
        <w:rPr>
          <w:sz w:val="24"/>
        </w:rPr>
        <w:t>Classroom</w:t>
      </w:r>
      <w:r>
        <w:rPr>
          <w:spacing w:val="-2"/>
          <w:sz w:val="24"/>
        </w:rPr>
        <w:t> </w:t>
      </w:r>
      <w:r>
        <w:rPr>
          <w:sz w:val="24"/>
        </w:rPr>
        <w:t>and</w:t>
      </w:r>
      <w:r>
        <w:rPr>
          <w:spacing w:val="-1"/>
          <w:sz w:val="24"/>
        </w:rPr>
        <w:t> </w:t>
      </w:r>
      <w:r>
        <w:rPr>
          <w:sz w:val="24"/>
        </w:rPr>
        <w:t>course</w:t>
      </w:r>
      <w:r>
        <w:rPr>
          <w:spacing w:val="-3"/>
          <w:sz w:val="24"/>
        </w:rPr>
        <w:t> </w:t>
      </w:r>
      <w:r>
        <w:rPr>
          <w:spacing w:val="-2"/>
          <w:sz w:val="24"/>
        </w:rPr>
        <w:t>performance</w:t>
      </w:r>
    </w:p>
    <w:p>
      <w:pPr>
        <w:pStyle w:val="ListParagraph"/>
        <w:numPr>
          <w:ilvl w:val="1"/>
          <w:numId w:val="2"/>
        </w:numPr>
        <w:tabs>
          <w:tab w:pos="1559" w:val="left" w:leader="none"/>
        </w:tabs>
        <w:spacing w:line="232" w:lineRule="auto" w:before="6" w:after="0"/>
        <w:ind w:left="1559" w:right="915" w:hanging="360"/>
        <w:jc w:val="left"/>
        <w:rPr>
          <w:rFonts w:ascii="Courier New" w:hAnsi="Courier New"/>
          <w:sz w:val="24"/>
        </w:rPr>
      </w:pPr>
      <w:r>
        <w:rPr>
          <w:sz w:val="24"/>
        </w:rPr>
        <w:t>A</w:t>
      </w:r>
      <w:r>
        <w:rPr>
          <w:spacing w:val="-3"/>
          <w:sz w:val="24"/>
        </w:rPr>
        <w:t> </w:t>
      </w:r>
      <w:r>
        <w:rPr>
          <w:sz w:val="24"/>
        </w:rPr>
        <w:t>record</w:t>
      </w:r>
      <w:r>
        <w:rPr>
          <w:spacing w:val="-5"/>
          <w:sz w:val="24"/>
        </w:rPr>
        <w:t> </w:t>
      </w:r>
      <w:r>
        <w:rPr>
          <w:sz w:val="24"/>
        </w:rPr>
        <w:t>of</w:t>
      </w:r>
      <w:r>
        <w:rPr>
          <w:spacing w:val="-2"/>
          <w:sz w:val="24"/>
        </w:rPr>
        <w:t> </w:t>
      </w:r>
      <w:r>
        <w:rPr>
          <w:sz w:val="24"/>
        </w:rPr>
        <w:t>sustained</w:t>
      </w:r>
      <w:r>
        <w:rPr>
          <w:spacing w:val="-5"/>
          <w:sz w:val="24"/>
        </w:rPr>
        <w:t> </w:t>
      </w:r>
      <w:r>
        <w:rPr>
          <w:sz w:val="24"/>
        </w:rPr>
        <w:t>high-quality</w:t>
      </w:r>
      <w:r>
        <w:rPr>
          <w:spacing w:val="-7"/>
          <w:sz w:val="24"/>
        </w:rPr>
        <w:t> </w:t>
      </w:r>
      <w:r>
        <w:rPr>
          <w:sz w:val="24"/>
        </w:rPr>
        <w:t>classroom</w:t>
      </w:r>
      <w:r>
        <w:rPr>
          <w:spacing w:val="-6"/>
          <w:sz w:val="24"/>
        </w:rPr>
        <w:t> </w:t>
      </w:r>
      <w:r>
        <w:rPr>
          <w:sz w:val="24"/>
        </w:rPr>
        <w:t>performance</w:t>
      </w:r>
      <w:r>
        <w:rPr>
          <w:spacing w:val="-3"/>
          <w:sz w:val="24"/>
        </w:rPr>
        <w:t> </w:t>
      </w:r>
      <w:r>
        <w:rPr>
          <w:sz w:val="24"/>
        </w:rPr>
        <w:t>as</w:t>
      </w:r>
      <w:r>
        <w:rPr>
          <w:spacing w:val="-6"/>
          <w:sz w:val="24"/>
        </w:rPr>
        <w:t> </w:t>
      </w:r>
      <w:r>
        <w:rPr>
          <w:sz w:val="24"/>
        </w:rPr>
        <w:t>evidenced</w:t>
      </w:r>
      <w:r>
        <w:rPr>
          <w:spacing w:val="-5"/>
          <w:sz w:val="24"/>
        </w:rPr>
        <w:t> </w:t>
      </w:r>
      <w:r>
        <w:rPr>
          <w:sz w:val="24"/>
        </w:rPr>
        <w:t>by student evaluation instruments</w:t>
      </w:r>
    </w:p>
    <w:p>
      <w:pPr>
        <w:pStyle w:val="ListParagraph"/>
        <w:numPr>
          <w:ilvl w:val="1"/>
          <w:numId w:val="2"/>
        </w:numPr>
        <w:tabs>
          <w:tab w:pos="1559" w:val="left" w:leader="none"/>
        </w:tabs>
        <w:spacing w:line="232" w:lineRule="auto" w:before="10" w:after="0"/>
        <w:ind w:left="1559" w:right="1148" w:hanging="360"/>
        <w:jc w:val="left"/>
        <w:rPr>
          <w:rFonts w:ascii="Courier New" w:hAnsi="Courier New"/>
          <w:sz w:val="24"/>
        </w:rPr>
      </w:pPr>
      <w:r>
        <w:rPr>
          <w:sz w:val="24"/>
        </w:rPr>
        <w:t>Peer</w:t>
      </w:r>
      <w:r>
        <w:rPr>
          <w:spacing w:val="-7"/>
          <w:sz w:val="24"/>
        </w:rPr>
        <w:t> </w:t>
      </w:r>
      <w:r>
        <w:rPr>
          <w:sz w:val="24"/>
        </w:rPr>
        <w:t>observations/evaluations</w:t>
      </w:r>
      <w:r>
        <w:rPr>
          <w:spacing w:val="-7"/>
          <w:sz w:val="24"/>
        </w:rPr>
        <w:t> </w:t>
      </w:r>
      <w:r>
        <w:rPr>
          <w:sz w:val="24"/>
        </w:rPr>
        <w:t>that</w:t>
      </w:r>
      <w:r>
        <w:rPr>
          <w:spacing w:val="-6"/>
          <w:sz w:val="24"/>
        </w:rPr>
        <w:t> </w:t>
      </w:r>
      <w:r>
        <w:rPr>
          <w:sz w:val="24"/>
        </w:rPr>
        <w:t>offer</w:t>
      </w:r>
      <w:r>
        <w:rPr>
          <w:spacing w:val="-7"/>
          <w:sz w:val="24"/>
        </w:rPr>
        <w:t> </w:t>
      </w:r>
      <w:r>
        <w:rPr>
          <w:sz w:val="24"/>
        </w:rPr>
        <w:t>well-developed</w:t>
      </w:r>
      <w:r>
        <w:rPr>
          <w:spacing w:val="-3"/>
          <w:sz w:val="24"/>
        </w:rPr>
        <w:t> </w:t>
      </w:r>
      <w:r>
        <w:rPr>
          <w:sz w:val="24"/>
        </w:rPr>
        <w:t>analyses</w:t>
      </w:r>
      <w:r>
        <w:rPr>
          <w:spacing w:val="-5"/>
          <w:sz w:val="24"/>
        </w:rPr>
        <w:t> </w:t>
      </w:r>
      <w:r>
        <w:rPr>
          <w:sz w:val="24"/>
        </w:rPr>
        <w:t>of</w:t>
      </w:r>
      <w:r>
        <w:rPr>
          <w:spacing w:val="-3"/>
          <w:sz w:val="24"/>
        </w:rPr>
        <w:t> </w:t>
      </w:r>
      <w:r>
        <w:rPr>
          <w:sz w:val="24"/>
        </w:rPr>
        <w:t>the candidate’s teaching and rate it highly</w:t>
      </w:r>
    </w:p>
    <w:p>
      <w:pPr>
        <w:pStyle w:val="ListParagraph"/>
        <w:numPr>
          <w:ilvl w:val="1"/>
          <w:numId w:val="2"/>
        </w:numPr>
        <w:tabs>
          <w:tab w:pos="1559" w:val="left" w:leader="none"/>
        </w:tabs>
        <w:spacing w:line="298" w:lineRule="exact" w:before="3" w:after="0"/>
        <w:ind w:left="1559" w:right="0" w:hanging="359"/>
        <w:jc w:val="left"/>
        <w:rPr>
          <w:rFonts w:ascii="Courier New" w:hAnsi="Courier New"/>
          <w:sz w:val="24"/>
        </w:rPr>
      </w:pPr>
      <w:r>
        <w:rPr>
          <w:sz w:val="24"/>
        </w:rPr>
        <w:t>Evidence</w:t>
      </w:r>
      <w:r>
        <w:rPr>
          <w:spacing w:val="-2"/>
          <w:sz w:val="24"/>
        </w:rPr>
        <w:t> </w:t>
      </w:r>
      <w:r>
        <w:rPr>
          <w:sz w:val="24"/>
        </w:rPr>
        <w:t>of</w:t>
      </w:r>
      <w:r>
        <w:rPr>
          <w:spacing w:val="-1"/>
          <w:sz w:val="24"/>
        </w:rPr>
        <w:t> </w:t>
      </w:r>
      <w:r>
        <w:rPr>
          <w:sz w:val="24"/>
        </w:rPr>
        <w:t>course</w:t>
      </w:r>
      <w:r>
        <w:rPr>
          <w:spacing w:val="-1"/>
          <w:sz w:val="24"/>
        </w:rPr>
        <w:t> </w:t>
      </w:r>
      <w:r>
        <w:rPr>
          <w:spacing w:val="-2"/>
          <w:sz w:val="24"/>
        </w:rPr>
        <w:t>rigor</w:t>
      </w:r>
    </w:p>
    <w:p>
      <w:pPr>
        <w:pStyle w:val="ListParagraph"/>
        <w:numPr>
          <w:ilvl w:val="1"/>
          <w:numId w:val="2"/>
        </w:numPr>
        <w:tabs>
          <w:tab w:pos="1559" w:val="left" w:leader="none"/>
        </w:tabs>
        <w:spacing w:line="294" w:lineRule="exact" w:before="0" w:after="0"/>
        <w:ind w:left="1559" w:right="0" w:hanging="359"/>
        <w:jc w:val="left"/>
        <w:rPr>
          <w:rFonts w:ascii="Courier New" w:hAnsi="Courier New"/>
          <w:sz w:val="24"/>
        </w:rPr>
      </w:pPr>
      <w:r>
        <w:rPr>
          <w:sz w:val="24"/>
        </w:rPr>
        <w:t>Letters</w:t>
      </w:r>
      <w:r>
        <w:rPr>
          <w:spacing w:val="-2"/>
          <w:sz w:val="24"/>
        </w:rPr>
        <w:t> </w:t>
      </w:r>
      <w:r>
        <w:rPr>
          <w:sz w:val="24"/>
        </w:rPr>
        <w:t>received</w:t>
      </w:r>
      <w:r>
        <w:rPr>
          <w:spacing w:val="-3"/>
          <w:sz w:val="24"/>
        </w:rPr>
        <w:t> </w:t>
      </w:r>
      <w:r>
        <w:rPr>
          <w:sz w:val="24"/>
        </w:rPr>
        <w:t>from</w:t>
      </w:r>
      <w:r>
        <w:rPr>
          <w:spacing w:val="-3"/>
          <w:sz w:val="24"/>
        </w:rPr>
        <w:t> </w:t>
      </w:r>
      <w:r>
        <w:rPr>
          <w:sz w:val="24"/>
        </w:rPr>
        <w:t>students</w:t>
      </w:r>
      <w:r>
        <w:rPr>
          <w:spacing w:val="-2"/>
          <w:sz w:val="24"/>
        </w:rPr>
        <w:t> </w:t>
      </w:r>
      <w:r>
        <w:rPr>
          <w:sz w:val="24"/>
        </w:rPr>
        <w:t>(particularly</w:t>
      </w:r>
      <w:r>
        <w:rPr>
          <w:spacing w:val="-4"/>
          <w:sz w:val="24"/>
        </w:rPr>
        <w:t> </w:t>
      </w:r>
      <w:r>
        <w:rPr>
          <w:spacing w:val="-2"/>
          <w:sz w:val="24"/>
        </w:rPr>
        <w:t>unsolicited)</w:t>
      </w:r>
    </w:p>
    <w:p>
      <w:pPr>
        <w:pStyle w:val="ListParagraph"/>
        <w:numPr>
          <w:ilvl w:val="1"/>
          <w:numId w:val="2"/>
        </w:numPr>
        <w:tabs>
          <w:tab w:pos="1559" w:val="left" w:leader="none"/>
        </w:tabs>
        <w:spacing w:line="293" w:lineRule="exact" w:before="0" w:after="0"/>
        <w:ind w:left="1559" w:right="0" w:hanging="359"/>
        <w:jc w:val="left"/>
        <w:rPr>
          <w:rFonts w:ascii="Courier New" w:hAnsi="Courier New"/>
          <w:sz w:val="24"/>
        </w:rPr>
      </w:pPr>
      <w:r>
        <w:rPr>
          <w:sz w:val="24"/>
        </w:rPr>
        <w:t>Teaching</w:t>
      </w:r>
      <w:r>
        <w:rPr>
          <w:spacing w:val="-4"/>
          <w:sz w:val="24"/>
        </w:rPr>
        <w:t> </w:t>
      </w:r>
      <w:r>
        <w:rPr>
          <w:sz w:val="24"/>
        </w:rPr>
        <w:t>awards</w:t>
      </w:r>
      <w:r>
        <w:rPr>
          <w:spacing w:val="-2"/>
          <w:sz w:val="24"/>
        </w:rPr>
        <w:t> </w:t>
      </w:r>
      <w:r>
        <w:rPr>
          <w:sz w:val="24"/>
        </w:rPr>
        <w:t>and</w:t>
      </w:r>
      <w:r>
        <w:rPr>
          <w:spacing w:val="-3"/>
          <w:sz w:val="24"/>
        </w:rPr>
        <w:t> </w:t>
      </w:r>
      <w:r>
        <w:rPr>
          <w:sz w:val="24"/>
        </w:rPr>
        <w:t>other</w:t>
      </w:r>
      <w:r>
        <w:rPr>
          <w:spacing w:val="-1"/>
          <w:sz w:val="24"/>
        </w:rPr>
        <w:t> </w:t>
      </w:r>
      <w:r>
        <w:rPr>
          <w:sz w:val="24"/>
        </w:rPr>
        <w:t>teaching</w:t>
      </w:r>
      <w:r>
        <w:rPr>
          <w:spacing w:val="-4"/>
          <w:sz w:val="24"/>
        </w:rPr>
        <w:t> </w:t>
      </w:r>
      <w:r>
        <w:rPr>
          <w:sz w:val="24"/>
        </w:rPr>
        <w:t>recognition </w:t>
      </w:r>
      <w:r>
        <w:rPr>
          <w:spacing w:val="-2"/>
          <w:sz w:val="24"/>
        </w:rPr>
        <w:t>received</w:t>
      </w:r>
    </w:p>
    <w:p>
      <w:pPr>
        <w:pStyle w:val="ListParagraph"/>
        <w:numPr>
          <w:ilvl w:val="1"/>
          <w:numId w:val="2"/>
        </w:numPr>
        <w:tabs>
          <w:tab w:pos="1559" w:val="left" w:leader="none"/>
        </w:tabs>
        <w:spacing w:line="293" w:lineRule="exact" w:before="0" w:after="0"/>
        <w:ind w:left="1559" w:right="0" w:hanging="359"/>
        <w:jc w:val="left"/>
        <w:rPr>
          <w:rFonts w:ascii="Courier New" w:hAnsi="Courier New"/>
          <w:sz w:val="24"/>
        </w:rPr>
      </w:pPr>
      <w:r>
        <w:rPr>
          <w:sz w:val="24"/>
        </w:rPr>
        <w:t>Results</w:t>
      </w:r>
      <w:r>
        <w:rPr>
          <w:spacing w:val="-6"/>
          <w:sz w:val="24"/>
        </w:rPr>
        <w:t> </w:t>
      </w:r>
      <w:r>
        <w:rPr>
          <w:sz w:val="24"/>
        </w:rPr>
        <w:t>of</w:t>
      </w:r>
      <w:r>
        <w:rPr>
          <w:spacing w:val="-1"/>
          <w:sz w:val="24"/>
        </w:rPr>
        <w:t> </w:t>
      </w:r>
      <w:r>
        <w:rPr>
          <w:sz w:val="24"/>
        </w:rPr>
        <w:t>instruments</w:t>
      </w:r>
      <w:r>
        <w:rPr>
          <w:spacing w:val="-5"/>
          <w:sz w:val="24"/>
        </w:rPr>
        <w:t> </w:t>
      </w:r>
      <w:r>
        <w:rPr>
          <w:sz w:val="24"/>
        </w:rPr>
        <w:t>used</w:t>
      </w:r>
      <w:r>
        <w:rPr>
          <w:spacing w:val="-2"/>
          <w:sz w:val="24"/>
        </w:rPr>
        <w:t> </w:t>
      </w:r>
      <w:r>
        <w:rPr>
          <w:sz w:val="24"/>
        </w:rPr>
        <w:t>for</w:t>
      </w:r>
      <w:r>
        <w:rPr>
          <w:spacing w:val="-2"/>
          <w:sz w:val="24"/>
        </w:rPr>
        <w:t> </w:t>
      </w:r>
      <w:r>
        <w:rPr>
          <w:sz w:val="24"/>
        </w:rPr>
        <w:t>assurance-of-learning</w:t>
      </w:r>
      <w:r>
        <w:rPr>
          <w:spacing w:val="-5"/>
          <w:sz w:val="24"/>
        </w:rPr>
        <w:t> </w:t>
      </w:r>
      <w:r>
        <w:rPr>
          <w:spacing w:val="-2"/>
          <w:sz w:val="24"/>
        </w:rPr>
        <w:t>purposes</w:t>
      </w:r>
    </w:p>
    <w:p>
      <w:pPr>
        <w:pStyle w:val="ListParagraph"/>
        <w:numPr>
          <w:ilvl w:val="1"/>
          <w:numId w:val="2"/>
        </w:numPr>
        <w:tabs>
          <w:tab w:pos="1560" w:val="left" w:leader="none"/>
        </w:tabs>
        <w:spacing w:line="232" w:lineRule="auto" w:before="3" w:after="0"/>
        <w:ind w:left="1560" w:right="474" w:hanging="360"/>
        <w:jc w:val="left"/>
        <w:rPr>
          <w:rFonts w:ascii="Courier New" w:hAnsi="Courier New"/>
          <w:sz w:val="24"/>
        </w:rPr>
      </w:pPr>
      <w:r>
        <w:rPr>
          <w:sz w:val="24"/>
        </w:rPr>
        <w:t>The</w:t>
      </w:r>
      <w:r>
        <w:rPr>
          <w:spacing w:val="-5"/>
          <w:sz w:val="24"/>
        </w:rPr>
        <w:t> </w:t>
      </w:r>
      <w:r>
        <w:rPr>
          <w:sz w:val="24"/>
        </w:rPr>
        <w:t>faculty</w:t>
      </w:r>
      <w:r>
        <w:rPr>
          <w:spacing w:val="-4"/>
          <w:sz w:val="24"/>
        </w:rPr>
        <w:t> </w:t>
      </w:r>
      <w:r>
        <w:rPr>
          <w:sz w:val="24"/>
        </w:rPr>
        <w:t>member</w:t>
      </w:r>
      <w:r>
        <w:rPr>
          <w:spacing w:val="-3"/>
          <w:sz w:val="24"/>
        </w:rPr>
        <w:t> </w:t>
      </w:r>
      <w:r>
        <w:rPr>
          <w:sz w:val="24"/>
        </w:rPr>
        <w:t>creates</w:t>
      </w:r>
      <w:r>
        <w:rPr>
          <w:spacing w:val="-4"/>
          <w:sz w:val="24"/>
        </w:rPr>
        <w:t> </w:t>
      </w:r>
      <w:r>
        <w:rPr>
          <w:sz w:val="24"/>
        </w:rPr>
        <w:t>or</w:t>
      </w:r>
      <w:r>
        <w:rPr>
          <w:spacing w:val="-6"/>
          <w:sz w:val="24"/>
        </w:rPr>
        <w:t> </w:t>
      </w:r>
      <w:r>
        <w:rPr>
          <w:sz w:val="24"/>
        </w:rPr>
        <w:t>fosters</w:t>
      </w:r>
      <w:r>
        <w:rPr>
          <w:spacing w:val="-6"/>
          <w:sz w:val="24"/>
        </w:rPr>
        <w:t> </w:t>
      </w:r>
      <w:r>
        <w:rPr>
          <w:sz w:val="24"/>
        </w:rPr>
        <w:t>a</w:t>
      </w:r>
      <w:r>
        <w:rPr>
          <w:spacing w:val="-6"/>
          <w:sz w:val="24"/>
        </w:rPr>
        <w:t> </w:t>
      </w:r>
      <w:r>
        <w:rPr>
          <w:sz w:val="24"/>
        </w:rPr>
        <w:t>welcoming</w:t>
      </w:r>
      <w:r>
        <w:rPr>
          <w:spacing w:val="-4"/>
          <w:sz w:val="24"/>
        </w:rPr>
        <w:t> </w:t>
      </w:r>
      <w:r>
        <w:rPr>
          <w:sz w:val="24"/>
        </w:rPr>
        <w:t>classroom</w:t>
      </w:r>
      <w:r>
        <w:rPr>
          <w:spacing w:val="-3"/>
          <w:sz w:val="24"/>
        </w:rPr>
        <w:t> </w:t>
      </w:r>
      <w:r>
        <w:rPr>
          <w:sz w:val="24"/>
        </w:rPr>
        <w:t>environment</w:t>
      </w:r>
      <w:r>
        <w:rPr>
          <w:spacing w:val="-2"/>
          <w:sz w:val="24"/>
        </w:rPr>
        <w:t> </w:t>
      </w:r>
      <w:r>
        <w:rPr>
          <w:sz w:val="24"/>
        </w:rPr>
        <w:t>for students or particular groups of students</w:t>
      </w:r>
    </w:p>
    <w:p>
      <w:pPr>
        <w:pStyle w:val="ListParagraph"/>
        <w:numPr>
          <w:ilvl w:val="1"/>
          <w:numId w:val="2"/>
        </w:numPr>
        <w:tabs>
          <w:tab w:pos="1560" w:val="left" w:leader="none"/>
        </w:tabs>
        <w:spacing w:line="232" w:lineRule="auto" w:before="9" w:after="0"/>
        <w:ind w:left="1560" w:right="577" w:hanging="360"/>
        <w:jc w:val="left"/>
        <w:rPr>
          <w:rFonts w:ascii="Courier New" w:hAnsi="Courier New"/>
          <w:sz w:val="24"/>
        </w:rPr>
      </w:pPr>
      <w:r>
        <w:rPr>
          <w:sz w:val="24"/>
        </w:rPr>
        <w:t>The</w:t>
      </w:r>
      <w:r>
        <w:rPr>
          <w:spacing w:val="-5"/>
          <w:sz w:val="24"/>
        </w:rPr>
        <w:t> </w:t>
      </w:r>
      <w:r>
        <w:rPr>
          <w:sz w:val="24"/>
        </w:rPr>
        <w:t>faculty</w:t>
      </w:r>
      <w:r>
        <w:rPr>
          <w:spacing w:val="-4"/>
          <w:sz w:val="24"/>
        </w:rPr>
        <w:t> </w:t>
      </w:r>
      <w:r>
        <w:rPr>
          <w:sz w:val="24"/>
        </w:rPr>
        <w:t>member’s</w:t>
      </w:r>
      <w:r>
        <w:rPr>
          <w:spacing w:val="-6"/>
          <w:sz w:val="24"/>
        </w:rPr>
        <w:t> </w:t>
      </w:r>
      <w:r>
        <w:rPr>
          <w:sz w:val="24"/>
        </w:rPr>
        <w:t>teaching</w:t>
      </w:r>
      <w:r>
        <w:rPr>
          <w:spacing w:val="-4"/>
          <w:sz w:val="24"/>
        </w:rPr>
        <w:t> </w:t>
      </w:r>
      <w:r>
        <w:rPr>
          <w:sz w:val="24"/>
        </w:rPr>
        <w:t>and/or</w:t>
      </w:r>
      <w:r>
        <w:rPr>
          <w:spacing w:val="-3"/>
          <w:sz w:val="24"/>
        </w:rPr>
        <w:t> </w:t>
      </w:r>
      <w:r>
        <w:rPr>
          <w:sz w:val="24"/>
        </w:rPr>
        <w:t>interactions</w:t>
      </w:r>
      <w:r>
        <w:rPr>
          <w:spacing w:val="-4"/>
          <w:sz w:val="24"/>
        </w:rPr>
        <w:t> </w:t>
      </w:r>
      <w:r>
        <w:rPr>
          <w:sz w:val="24"/>
        </w:rPr>
        <w:t>with</w:t>
      </w:r>
      <w:r>
        <w:rPr>
          <w:spacing w:val="-5"/>
          <w:sz w:val="24"/>
        </w:rPr>
        <w:t> </w:t>
      </w:r>
      <w:r>
        <w:rPr>
          <w:sz w:val="24"/>
        </w:rPr>
        <w:t>students</w:t>
      </w:r>
      <w:r>
        <w:rPr>
          <w:spacing w:val="-4"/>
          <w:sz w:val="24"/>
        </w:rPr>
        <w:t> </w:t>
      </w:r>
      <w:r>
        <w:rPr>
          <w:sz w:val="24"/>
        </w:rPr>
        <w:t>is</w:t>
      </w:r>
      <w:r>
        <w:rPr>
          <w:spacing w:val="-6"/>
          <w:sz w:val="24"/>
        </w:rPr>
        <w:t> </w:t>
      </w:r>
      <w:r>
        <w:rPr>
          <w:sz w:val="24"/>
        </w:rPr>
        <w:t>consistent with the School’s teaching mission, values and goals</w:t>
      </w:r>
    </w:p>
    <w:p>
      <w:pPr>
        <w:pStyle w:val="ListParagraph"/>
        <w:numPr>
          <w:ilvl w:val="1"/>
          <w:numId w:val="2"/>
        </w:numPr>
        <w:tabs>
          <w:tab w:pos="1559" w:val="left" w:leader="none"/>
        </w:tabs>
        <w:spacing w:line="296" w:lineRule="exact" w:before="3" w:after="0"/>
        <w:ind w:left="1559" w:right="0" w:hanging="359"/>
        <w:jc w:val="left"/>
        <w:rPr>
          <w:rFonts w:ascii="Courier New" w:hAnsi="Courier New"/>
          <w:sz w:val="24"/>
        </w:rPr>
      </w:pPr>
      <w:r>
        <w:rPr>
          <w:sz w:val="24"/>
        </w:rPr>
        <w:t>Mentoring</w:t>
      </w:r>
      <w:r>
        <w:rPr>
          <w:spacing w:val="-11"/>
          <w:sz w:val="24"/>
        </w:rPr>
        <w:t> </w:t>
      </w:r>
      <w:r>
        <w:rPr>
          <w:sz w:val="24"/>
        </w:rPr>
        <w:t>of</w:t>
      </w:r>
      <w:r>
        <w:rPr>
          <w:spacing w:val="-7"/>
          <w:sz w:val="24"/>
        </w:rPr>
        <w:t> </w:t>
      </w:r>
      <w:r>
        <w:rPr>
          <w:spacing w:val="-2"/>
          <w:sz w:val="24"/>
        </w:rPr>
        <w:t>students</w:t>
      </w:r>
    </w:p>
    <w:p>
      <w:pPr>
        <w:pStyle w:val="ListParagraph"/>
        <w:numPr>
          <w:ilvl w:val="0"/>
          <w:numId w:val="2"/>
        </w:numPr>
        <w:tabs>
          <w:tab w:pos="839" w:val="left" w:leader="none"/>
        </w:tabs>
        <w:spacing w:line="301" w:lineRule="exact" w:before="0" w:after="0"/>
        <w:ind w:left="839" w:right="0" w:hanging="359"/>
        <w:jc w:val="left"/>
        <w:rPr>
          <w:sz w:val="24"/>
        </w:rPr>
      </w:pPr>
      <w:r>
        <w:rPr>
          <w:sz w:val="24"/>
        </w:rPr>
        <w:t>Curriculum</w:t>
      </w:r>
      <w:r>
        <w:rPr>
          <w:spacing w:val="-1"/>
          <w:sz w:val="24"/>
        </w:rPr>
        <w:t> </w:t>
      </w:r>
      <w:r>
        <w:rPr>
          <w:spacing w:val="-2"/>
          <w:sz w:val="24"/>
        </w:rPr>
        <w:t>development</w:t>
      </w:r>
    </w:p>
    <w:p>
      <w:pPr>
        <w:pStyle w:val="ListParagraph"/>
        <w:numPr>
          <w:ilvl w:val="1"/>
          <w:numId w:val="2"/>
        </w:numPr>
        <w:tabs>
          <w:tab w:pos="1560" w:val="left" w:leader="none"/>
        </w:tabs>
        <w:spacing w:line="232" w:lineRule="auto" w:before="9" w:after="0"/>
        <w:ind w:left="1560" w:right="713" w:hanging="360"/>
        <w:jc w:val="left"/>
        <w:rPr>
          <w:rFonts w:ascii="Courier New" w:hAnsi="Courier New"/>
          <w:sz w:val="24"/>
        </w:rPr>
      </w:pPr>
      <w:r>
        <w:rPr>
          <w:sz w:val="24"/>
        </w:rPr>
        <w:t>Leadership</w:t>
      </w:r>
      <w:r>
        <w:rPr>
          <w:spacing w:val="-5"/>
          <w:sz w:val="24"/>
        </w:rPr>
        <w:t> </w:t>
      </w:r>
      <w:r>
        <w:rPr>
          <w:sz w:val="24"/>
        </w:rPr>
        <w:t>of</w:t>
      </w:r>
      <w:r>
        <w:rPr>
          <w:spacing w:val="-5"/>
          <w:sz w:val="24"/>
        </w:rPr>
        <w:t> </w:t>
      </w:r>
      <w:r>
        <w:rPr>
          <w:sz w:val="24"/>
        </w:rPr>
        <w:t>or</w:t>
      </w:r>
      <w:r>
        <w:rPr>
          <w:spacing w:val="-6"/>
          <w:sz w:val="24"/>
        </w:rPr>
        <w:t> </w:t>
      </w:r>
      <w:r>
        <w:rPr>
          <w:sz w:val="24"/>
        </w:rPr>
        <w:t>participation</w:t>
      </w:r>
      <w:r>
        <w:rPr>
          <w:spacing w:val="-5"/>
          <w:sz w:val="24"/>
        </w:rPr>
        <w:t> </w:t>
      </w:r>
      <w:r>
        <w:rPr>
          <w:sz w:val="24"/>
        </w:rPr>
        <w:t>in</w:t>
      </w:r>
      <w:r>
        <w:rPr>
          <w:spacing w:val="-5"/>
          <w:sz w:val="24"/>
        </w:rPr>
        <w:t> </w:t>
      </w:r>
      <w:r>
        <w:rPr>
          <w:sz w:val="24"/>
        </w:rPr>
        <w:t>the</w:t>
      </w:r>
      <w:r>
        <w:rPr>
          <w:spacing w:val="-5"/>
          <w:sz w:val="24"/>
        </w:rPr>
        <w:t> </w:t>
      </w:r>
      <w:r>
        <w:rPr>
          <w:sz w:val="24"/>
        </w:rPr>
        <w:t>development</w:t>
      </w:r>
      <w:r>
        <w:rPr>
          <w:spacing w:val="-2"/>
          <w:sz w:val="24"/>
        </w:rPr>
        <w:t> </w:t>
      </w:r>
      <w:r>
        <w:rPr>
          <w:sz w:val="24"/>
        </w:rPr>
        <w:t>of</w:t>
      </w:r>
      <w:r>
        <w:rPr>
          <w:spacing w:val="-2"/>
          <w:sz w:val="24"/>
        </w:rPr>
        <w:t> </w:t>
      </w:r>
      <w:r>
        <w:rPr>
          <w:sz w:val="24"/>
        </w:rPr>
        <w:t>School</w:t>
      </w:r>
      <w:r>
        <w:rPr>
          <w:spacing w:val="-3"/>
          <w:sz w:val="24"/>
        </w:rPr>
        <w:t> </w:t>
      </w:r>
      <w:r>
        <w:rPr>
          <w:sz w:val="24"/>
        </w:rPr>
        <w:t>or</w:t>
      </w:r>
      <w:r>
        <w:rPr>
          <w:spacing w:val="-3"/>
          <w:sz w:val="24"/>
        </w:rPr>
        <w:t> </w:t>
      </w:r>
      <w:r>
        <w:rPr>
          <w:sz w:val="24"/>
        </w:rPr>
        <w:t>departmental instructional goals and objectives</w:t>
      </w:r>
    </w:p>
    <w:p>
      <w:pPr>
        <w:pStyle w:val="ListParagraph"/>
        <w:numPr>
          <w:ilvl w:val="1"/>
          <w:numId w:val="2"/>
        </w:numPr>
        <w:tabs>
          <w:tab w:pos="1559" w:val="left" w:leader="none"/>
        </w:tabs>
        <w:spacing w:line="297" w:lineRule="exact" w:before="3" w:after="0"/>
        <w:ind w:left="1559" w:right="0" w:hanging="359"/>
        <w:jc w:val="left"/>
        <w:rPr>
          <w:rFonts w:ascii="Courier New" w:hAnsi="Courier New"/>
          <w:sz w:val="24"/>
        </w:rPr>
      </w:pPr>
      <w:r>
        <w:rPr>
          <w:sz w:val="24"/>
        </w:rPr>
        <w:t>Participation</w:t>
      </w:r>
      <w:r>
        <w:rPr>
          <w:spacing w:val="-3"/>
          <w:sz w:val="24"/>
        </w:rPr>
        <w:t> </w:t>
      </w:r>
      <w:r>
        <w:rPr>
          <w:sz w:val="24"/>
        </w:rPr>
        <w:t>in course</w:t>
      </w:r>
      <w:r>
        <w:rPr>
          <w:spacing w:val="-1"/>
          <w:sz w:val="24"/>
        </w:rPr>
        <w:t> </w:t>
      </w:r>
      <w:r>
        <w:rPr>
          <w:sz w:val="24"/>
        </w:rPr>
        <w:t>or</w:t>
      </w:r>
      <w:r>
        <w:rPr>
          <w:spacing w:val="-4"/>
          <w:sz w:val="24"/>
        </w:rPr>
        <w:t> </w:t>
      </w:r>
      <w:r>
        <w:rPr>
          <w:sz w:val="24"/>
        </w:rPr>
        <w:t>curriculum</w:t>
      </w:r>
      <w:r>
        <w:rPr>
          <w:spacing w:val="-4"/>
          <w:sz w:val="24"/>
        </w:rPr>
        <w:t> </w:t>
      </w:r>
      <w:r>
        <w:rPr>
          <w:sz w:val="24"/>
        </w:rPr>
        <w:t>development or</w:t>
      </w:r>
      <w:r>
        <w:rPr>
          <w:spacing w:val="-4"/>
          <w:sz w:val="24"/>
        </w:rPr>
        <w:t> </w:t>
      </w:r>
      <w:r>
        <w:rPr>
          <w:spacing w:val="-2"/>
          <w:sz w:val="24"/>
        </w:rPr>
        <w:t>innovation</w:t>
      </w:r>
    </w:p>
    <w:p>
      <w:pPr>
        <w:pStyle w:val="ListParagraph"/>
        <w:numPr>
          <w:ilvl w:val="1"/>
          <w:numId w:val="2"/>
        </w:numPr>
        <w:tabs>
          <w:tab w:pos="1560" w:val="left" w:leader="none"/>
        </w:tabs>
        <w:spacing w:line="232" w:lineRule="auto" w:before="3" w:after="0"/>
        <w:ind w:left="1560" w:right="116" w:hanging="360"/>
        <w:jc w:val="left"/>
        <w:rPr>
          <w:rFonts w:ascii="Courier New" w:hAnsi="Courier New"/>
          <w:sz w:val="24"/>
        </w:rPr>
      </w:pPr>
      <w:r>
        <w:rPr>
          <w:sz w:val="24"/>
        </w:rPr>
        <w:t>Development</w:t>
      </w:r>
      <w:r>
        <w:rPr>
          <w:spacing w:val="-4"/>
          <w:sz w:val="24"/>
        </w:rPr>
        <w:t> </w:t>
      </w:r>
      <w:r>
        <w:rPr>
          <w:sz w:val="24"/>
        </w:rPr>
        <w:t>of</w:t>
      </w:r>
      <w:r>
        <w:rPr>
          <w:spacing w:val="-4"/>
          <w:sz w:val="24"/>
        </w:rPr>
        <w:t> </w:t>
      </w:r>
      <w:r>
        <w:rPr>
          <w:sz w:val="24"/>
        </w:rPr>
        <w:t>new</w:t>
      </w:r>
      <w:r>
        <w:rPr>
          <w:spacing w:val="-1"/>
          <w:sz w:val="24"/>
        </w:rPr>
        <w:t> </w:t>
      </w:r>
      <w:r>
        <w:rPr>
          <w:sz w:val="24"/>
        </w:rPr>
        <w:t>course</w:t>
      </w:r>
      <w:r>
        <w:rPr>
          <w:spacing w:val="-2"/>
          <w:sz w:val="24"/>
        </w:rPr>
        <w:t> </w:t>
      </w:r>
      <w:r>
        <w:rPr>
          <w:sz w:val="24"/>
        </w:rPr>
        <w:t>materials</w:t>
      </w:r>
      <w:r>
        <w:rPr>
          <w:spacing w:val="-5"/>
          <w:sz w:val="24"/>
        </w:rPr>
        <w:t> </w:t>
      </w:r>
      <w:r>
        <w:rPr>
          <w:sz w:val="24"/>
        </w:rPr>
        <w:t>for</w:t>
      </w:r>
      <w:r>
        <w:rPr>
          <w:spacing w:val="-5"/>
          <w:sz w:val="24"/>
        </w:rPr>
        <w:t> </w:t>
      </w:r>
      <w:r>
        <w:rPr>
          <w:sz w:val="24"/>
        </w:rPr>
        <w:t>use</w:t>
      </w:r>
      <w:r>
        <w:rPr>
          <w:spacing w:val="-2"/>
          <w:sz w:val="24"/>
        </w:rPr>
        <w:t> </w:t>
      </w:r>
      <w:r>
        <w:rPr>
          <w:sz w:val="24"/>
        </w:rPr>
        <w:t>in</w:t>
      </w:r>
      <w:r>
        <w:rPr>
          <w:spacing w:val="-4"/>
          <w:sz w:val="24"/>
        </w:rPr>
        <w:t> </w:t>
      </w:r>
      <w:r>
        <w:rPr>
          <w:sz w:val="24"/>
        </w:rPr>
        <w:t>the</w:t>
      </w:r>
      <w:r>
        <w:rPr>
          <w:spacing w:val="-4"/>
          <w:sz w:val="24"/>
        </w:rPr>
        <w:t> </w:t>
      </w:r>
      <w:r>
        <w:rPr>
          <w:sz w:val="24"/>
        </w:rPr>
        <w:t>faculty</w:t>
      </w:r>
      <w:r>
        <w:rPr>
          <w:spacing w:val="-6"/>
          <w:sz w:val="24"/>
        </w:rPr>
        <w:t> </w:t>
      </w:r>
      <w:r>
        <w:rPr>
          <w:sz w:val="24"/>
        </w:rPr>
        <w:t>member’s</w:t>
      </w:r>
      <w:r>
        <w:rPr>
          <w:spacing w:val="-3"/>
          <w:sz w:val="24"/>
        </w:rPr>
        <w:t> </w:t>
      </w:r>
      <w:r>
        <w:rPr>
          <w:sz w:val="24"/>
        </w:rPr>
        <w:t>own</w:t>
      </w:r>
      <w:r>
        <w:rPr>
          <w:spacing w:val="-1"/>
          <w:sz w:val="24"/>
        </w:rPr>
        <w:t> </w:t>
      </w:r>
      <w:r>
        <w:rPr>
          <w:sz w:val="24"/>
        </w:rPr>
        <w:t>course, if those materials extend beyond basic or routine teaching materials</w:t>
      </w:r>
    </w:p>
    <w:p>
      <w:pPr>
        <w:pStyle w:val="ListParagraph"/>
        <w:numPr>
          <w:ilvl w:val="0"/>
          <w:numId w:val="2"/>
        </w:numPr>
        <w:tabs>
          <w:tab w:pos="839" w:val="left" w:leader="none"/>
        </w:tabs>
        <w:spacing w:line="240" w:lineRule="auto" w:before="2" w:after="0"/>
        <w:ind w:left="839" w:right="0" w:hanging="359"/>
        <w:jc w:val="left"/>
        <w:rPr>
          <w:sz w:val="24"/>
        </w:rPr>
      </w:pPr>
      <w:r>
        <w:rPr>
          <w:sz w:val="24"/>
        </w:rPr>
        <w:t>Professional</w:t>
      </w:r>
      <w:r>
        <w:rPr>
          <w:spacing w:val="-5"/>
          <w:sz w:val="24"/>
        </w:rPr>
        <w:t> </w:t>
      </w:r>
      <w:r>
        <w:rPr>
          <w:spacing w:val="-2"/>
          <w:sz w:val="24"/>
        </w:rPr>
        <w:t>development</w:t>
      </w:r>
    </w:p>
    <w:p>
      <w:pPr>
        <w:pStyle w:val="ListParagraph"/>
        <w:numPr>
          <w:ilvl w:val="1"/>
          <w:numId w:val="2"/>
        </w:numPr>
        <w:tabs>
          <w:tab w:pos="1560" w:val="left" w:leader="none"/>
        </w:tabs>
        <w:spacing w:line="232" w:lineRule="auto" w:before="9" w:after="0"/>
        <w:ind w:left="1560" w:right="412" w:hanging="360"/>
        <w:jc w:val="left"/>
        <w:rPr>
          <w:rFonts w:ascii="Courier New" w:hAnsi="Courier New"/>
          <w:sz w:val="24"/>
        </w:rPr>
      </w:pPr>
      <w:r>
        <w:rPr>
          <w:sz w:val="24"/>
        </w:rPr>
        <w:t>Professional</w:t>
      </w:r>
      <w:r>
        <w:rPr>
          <w:spacing w:val="-5"/>
          <w:sz w:val="24"/>
        </w:rPr>
        <w:t> </w:t>
      </w:r>
      <w:r>
        <w:rPr>
          <w:sz w:val="24"/>
        </w:rPr>
        <w:t>development</w:t>
      </w:r>
      <w:r>
        <w:rPr>
          <w:spacing w:val="-4"/>
          <w:sz w:val="24"/>
        </w:rPr>
        <w:t> </w:t>
      </w:r>
      <w:r>
        <w:rPr>
          <w:sz w:val="24"/>
        </w:rPr>
        <w:t>to</w:t>
      </w:r>
      <w:r>
        <w:rPr>
          <w:spacing w:val="-4"/>
          <w:sz w:val="24"/>
        </w:rPr>
        <w:t> </w:t>
      </w:r>
      <w:r>
        <w:rPr>
          <w:sz w:val="24"/>
        </w:rPr>
        <w:t>support</w:t>
      </w:r>
      <w:r>
        <w:rPr>
          <w:spacing w:val="-4"/>
          <w:sz w:val="24"/>
        </w:rPr>
        <w:t> </w:t>
      </w:r>
      <w:r>
        <w:rPr>
          <w:sz w:val="24"/>
        </w:rPr>
        <w:t>the</w:t>
      </w:r>
      <w:r>
        <w:rPr>
          <w:spacing w:val="-4"/>
          <w:sz w:val="24"/>
        </w:rPr>
        <w:t> </w:t>
      </w:r>
      <w:r>
        <w:rPr>
          <w:sz w:val="24"/>
        </w:rPr>
        <w:t>School’s</w:t>
      </w:r>
      <w:r>
        <w:rPr>
          <w:spacing w:val="-3"/>
          <w:sz w:val="24"/>
        </w:rPr>
        <w:t> </w:t>
      </w:r>
      <w:r>
        <w:rPr>
          <w:sz w:val="24"/>
        </w:rPr>
        <w:t>teaching</w:t>
      </w:r>
      <w:r>
        <w:rPr>
          <w:spacing w:val="-3"/>
          <w:sz w:val="24"/>
        </w:rPr>
        <w:t> </w:t>
      </w:r>
      <w:r>
        <w:rPr>
          <w:sz w:val="24"/>
        </w:rPr>
        <w:t>mission,</w:t>
      </w:r>
      <w:r>
        <w:rPr>
          <w:spacing w:val="-3"/>
          <w:sz w:val="24"/>
        </w:rPr>
        <w:t> </w:t>
      </w:r>
      <w:r>
        <w:rPr>
          <w:sz w:val="24"/>
        </w:rPr>
        <w:t>values,</w:t>
      </w:r>
      <w:r>
        <w:rPr>
          <w:spacing w:val="-3"/>
          <w:sz w:val="24"/>
        </w:rPr>
        <w:t> </w:t>
      </w:r>
      <w:r>
        <w:rPr>
          <w:sz w:val="24"/>
        </w:rPr>
        <w:t>and </w:t>
      </w:r>
      <w:r>
        <w:rPr>
          <w:spacing w:val="-2"/>
          <w:sz w:val="24"/>
        </w:rPr>
        <w:t>goals.</w:t>
      </w:r>
    </w:p>
    <w:p>
      <w:pPr>
        <w:pStyle w:val="ListParagraph"/>
        <w:numPr>
          <w:ilvl w:val="1"/>
          <w:numId w:val="2"/>
        </w:numPr>
        <w:tabs>
          <w:tab w:pos="1559" w:val="left" w:leader="none"/>
        </w:tabs>
        <w:spacing w:line="297" w:lineRule="exact" w:before="3" w:after="0"/>
        <w:ind w:left="1559" w:right="0" w:hanging="359"/>
        <w:jc w:val="left"/>
        <w:rPr>
          <w:rFonts w:ascii="Courier New" w:hAnsi="Courier New"/>
          <w:sz w:val="24"/>
        </w:rPr>
      </w:pPr>
      <w:r>
        <w:rPr>
          <w:sz w:val="24"/>
        </w:rPr>
        <w:t>Participation</w:t>
      </w:r>
      <w:r>
        <w:rPr>
          <w:spacing w:val="-2"/>
          <w:sz w:val="24"/>
        </w:rPr>
        <w:t> </w:t>
      </w:r>
      <w:r>
        <w:rPr>
          <w:sz w:val="24"/>
        </w:rPr>
        <w:t>in teaching</w:t>
      </w:r>
      <w:r>
        <w:rPr>
          <w:spacing w:val="-7"/>
          <w:sz w:val="24"/>
        </w:rPr>
        <w:t> </w:t>
      </w:r>
      <w:r>
        <w:rPr>
          <w:sz w:val="24"/>
        </w:rPr>
        <w:t>and learning</w:t>
      </w:r>
      <w:r>
        <w:rPr>
          <w:spacing w:val="-3"/>
          <w:sz w:val="24"/>
        </w:rPr>
        <w:t> </w:t>
      </w:r>
      <w:r>
        <w:rPr>
          <w:sz w:val="24"/>
        </w:rPr>
        <w:t>development activities</w:t>
      </w:r>
      <w:r>
        <w:rPr>
          <w:spacing w:val="-4"/>
          <w:sz w:val="24"/>
        </w:rPr>
        <w:t> </w:t>
      </w:r>
      <w:r>
        <w:rPr>
          <w:sz w:val="24"/>
        </w:rPr>
        <w:t>at</w:t>
      </w:r>
      <w:r>
        <w:rPr>
          <w:spacing w:val="-3"/>
          <w:sz w:val="24"/>
        </w:rPr>
        <w:t> </w:t>
      </w:r>
      <w:r>
        <w:rPr>
          <w:sz w:val="24"/>
        </w:rPr>
        <w:t>the </w:t>
      </w:r>
      <w:r>
        <w:rPr>
          <w:spacing w:val="-2"/>
          <w:sz w:val="24"/>
        </w:rPr>
        <w:t>School,</w:t>
      </w:r>
    </w:p>
    <w:p>
      <w:pPr>
        <w:pStyle w:val="BodyText"/>
        <w:spacing w:line="289" w:lineRule="exact"/>
        <w:ind w:left="1560"/>
      </w:pPr>
      <w:r>
        <w:rPr/>
        <w:t>University,</w:t>
      </w:r>
      <w:r>
        <w:rPr>
          <w:spacing w:val="-2"/>
        </w:rPr>
        <w:t> </w:t>
      </w:r>
      <w:r>
        <w:rPr/>
        <w:t>or</w:t>
      </w:r>
      <w:r>
        <w:rPr>
          <w:spacing w:val="-1"/>
        </w:rPr>
        <w:t> </w:t>
      </w:r>
      <w:r>
        <w:rPr/>
        <w:t>peer</w:t>
      </w:r>
      <w:r>
        <w:rPr>
          <w:spacing w:val="-4"/>
        </w:rPr>
        <w:t> </w:t>
      </w:r>
      <w:r>
        <w:rPr/>
        <w:t>professional</w:t>
      </w:r>
      <w:r>
        <w:rPr>
          <w:spacing w:val="-1"/>
        </w:rPr>
        <w:t> </w:t>
      </w:r>
      <w:r>
        <w:rPr/>
        <w:t>group</w:t>
      </w:r>
      <w:r>
        <w:rPr>
          <w:spacing w:val="-3"/>
        </w:rPr>
        <w:t> </w:t>
      </w:r>
      <w:r>
        <w:rPr>
          <w:spacing w:val="-4"/>
        </w:rPr>
        <w:t>level</w:t>
      </w:r>
    </w:p>
    <w:p>
      <w:pPr>
        <w:pStyle w:val="ListParagraph"/>
        <w:numPr>
          <w:ilvl w:val="1"/>
          <w:numId w:val="2"/>
        </w:numPr>
        <w:tabs>
          <w:tab w:pos="1560" w:val="left" w:leader="none"/>
        </w:tabs>
        <w:spacing w:line="232" w:lineRule="auto" w:before="7" w:after="0"/>
        <w:ind w:left="1560" w:right="378" w:hanging="360"/>
        <w:jc w:val="left"/>
        <w:rPr>
          <w:rFonts w:ascii="Courier New" w:hAnsi="Courier New"/>
          <w:sz w:val="24"/>
        </w:rPr>
      </w:pPr>
      <w:r>
        <w:rPr>
          <w:sz w:val="24"/>
        </w:rPr>
        <w:t>Participation</w:t>
      </w:r>
      <w:r>
        <w:rPr>
          <w:spacing w:val="-14"/>
          <w:sz w:val="24"/>
        </w:rPr>
        <w:t> </w:t>
      </w:r>
      <w:r>
        <w:rPr>
          <w:sz w:val="24"/>
        </w:rPr>
        <w:t>in</w:t>
      </w:r>
      <w:r>
        <w:rPr>
          <w:spacing w:val="-12"/>
          <w:sz w:val="24"/>
        </w:rPr>
        <w:t> </w:t>
      </w:r>
      <w:r>
        <w:rPr>
          <w:sz w:val="24"/>
        </w:rPr>
        <w:t>Kelley</w:t>
      </w:r>
      <w:r>
        <w:rPr>
          <w:spacing w:val="-13"/>
          <w:sz w:val="24"/>
        </w:rPr>
        <w:t> </w:t>
      </w:r>
      <w:r>
        <w:rPr>
          <w:sz w:val="24"/>
        </w:rPr>
        <w:t>School</w:t>
      </w:r>
      <w:r>
        <w:rPr>
          <w:spacing w:val="-14"/>
          <w:sz w:val="24"/>
        </w:rPr>
        <w:t> </w:t>
      </w:r>
      <w:r>
        <w:rPr>
          <w:sz w:val="24"/>
        </w:rPr>
        <w:t>or</w:t>
      </w:r>
      <w:r>
        <w:rPr>
          <w:spacing w:val="-11"/>
          <w:sz w:val="24"/>
        </w:rPr>
        <w:t> </w:t>
      </w:r>
      <w:r>
        <w:rPr>
          <w:sz w:val="24"/>
        </w:rPr>
        <w:t>University</w:t>
      </w:r>
      <w:r>
        <w:rPr>
          <w:spacing w:val="-14"/>
          <w:sz w:val="24"/>
        </w:rPr>
        <w:t> </w:t>
      </w:r>
      <w:r>
        <w:rPr>
          <w:sz w:val="24"/>
        </w:rPr>
        <w:t>workshops</w:t>
      </w:r>
      <w:r>
        <w:rPr>
          <w:spacing w:val="-13"/>
          <w:sz w:val="24"/>
        </w:rPr>
        <w:t> </w:t>
      </w:r>
      <w:r>
        <w:rPr>
          <w:sz w:val="24"/>
        </w:rPr>
        <w:t>and</w:t>
      </w:r>
      <w:r>
        <w:rPr>
          <w:spacing w:val="-14"/>
          <w:sz w:val="24"/>
        </w:rPr>
        <w:t> </w:t>
      </w:r>
      <w:r>
        <w:rPr>
          <w:sz w:val="24"/>
        </w:rPr>
        <w:t>programs</w:t>
      </w:r>
      <w:r>
        <w:rPr>
          <w:spacing w:val="-13"/>
          <w:sz w:val="24"/>
        </w:rPr>
        <w:t> </w:t>
      </w:r>
      <w:r>
        <w:rPr>
          <w:sz w:val="24"/>
        </w:rPr>
        <w:t>dealing</w:t>
      </w:r>
      <w:r>
        <w:rPr>
          <w:spacing w:val="-14"/>
          <w:sz w:val="24"/>
        </w:rPr>
        <w:t> </w:t>
      </w:r>
      <w:r>
        <w:rPr>
          <w:sz w:val="24"/>
        </w:rPr>
        <w:t>with </w:t>
      </w:r>
      <w:r>
        <w:rPr>
          <w:spacing w:val="-2"/>
          <w:sz w:val="24"/>
        </w:rPr>
        <w:t>pedagogy</w:t>
      </w:r>
    </w:p>
    <w:p>
      <w:pPr>
        <w:pStyle w:val="ListParagraph"/>
        <w:numPr>
          <w:ilvl w:val="1"/>
          <w:numId w:val="2"/>
        </w:numPr>
        <w:tabs>
          <w:tab w:pos="1559" w:val="left" w:leader="none"/>
        </w:tabs>
        <w:spacing w:line="296" w:lineRule="exact" w:before="5" w:after="0"/>
        <w:ind w:left="1559" w:right="0" w:hanging="359"/>
        <w:jc w:val="left"/>
        <w:rPr>
          <w:rFonts w:ascii="Courier New" w:hAnsi="Courier New"/>
          <w:sz w:val="24"/>
        </w:rPr>
      </w:pPr>
      <w:r>
        <w:rPr>
          <w:sz w:val="24"/>
        </w:rPr>
        <w:t>Maintenance</w:t>
      </w:r>
      <w:r>
        <w:rPr>
          <w:spacing w:val="-13"/>
          <w:sz w:val="24"/>
        </w:rPr>
        <w:t> </w:t>
      </w:r>
      <w:r>
        <w:rPr>
          <w:sz w:val="24"/>
        </w:rPr>
        <w:t>(or</w:t>
      </w:r>
      <w:r>
        <w:rPr>
          <w:spacing w:val="-12"/>
          <w:sz w:val="24"/>
        </w:rPr>
        <w:t> </w:t>
      </w:r>
      <w:r>
        <w:rPr>
          <w:sz w:val="24"/>
        </w:rPr>
        <w:t>acquisition)</w:t>
      </w:r>
      <w:r>
        <w:rPr>
          <w:spacing w:val="-13"/>
          <w:sz w:val="24"/>
        </w:rPr>
        <w:t> </w:t>
      </w:r>
      <w:r>
        <w:rPr>
          <w:sz w:val="24"/>
        </w:rPr>
        <w:t>of</w:t>
      </w:r>
      <w:r>
        <w:rPr>
          <w:spacing w:val="-13"/>
          <w:sz w:val="24"/>
        </w:rPr>
        <w:t> </w:t>
      </w:r>
      <w:r>
        <w:rPr>
          <w:sz w:val="24"/>
        </w:rPr>
        <w:t>professional</w:t>
      </w:r>
      <w:r>
        <w:rPr>
          <w:spacing w:val="-12"/>
          <w:sz w:val="24"/>
        </w:rPr>
        <w:t> </w:t>
      </w:r>
      <w:r>
        <w:rPr>
          <w:spacing w:val="-2"/>
          <w:sz w:val="24"/>
        </w:rPr>
        <w:t>certifications</w:t>
      </w:r>
    </w:p>
    <w:p>
      <w:pPr>
        <w:pStyle w:val="ListParagraph"/>
        <w:numPr>
          <w:ilvl w:val="0"/>
          <w:numId w:val="2"/>
        </w:numPr>
        <w:tabs>
          <w:tab w:pos="839" w:val="left" w:leader="none"/>
        </w:tabs>
        <w:spacing w:line="301" w:lineRule="exact" w:before="0" w:after="0"/>
        <w:ind w:left="839" w:right="0" w:hanging="359"/>
        <w:jc w:val="left"/>
        <w:rPr>
          <w:sz w:val="24"/>
        </w:rPr>
      </w:pPr>
      <w:r>
        <w:rPr>
          <w:spacing w:val="-2"/>
          <w:sz w:val="24"/>
        </w:rPr>
        <w:t>Dissemination</w:t>
      </w:r>
    </w:p>
    <w:p>
      <w:pPr>
        <w:spacing w:after="0" w:line="301" w:lineRule="exact"/>
        <w:jc w:val="left"/>
        <w:rPr>
          <w:sz w:val="24"/>
        </w:rPr>
        <w:sectPr>
          <w:pgSz w:w="12240" w:h="15840"/>
          <w:pgMar w:header="0" w:footer="1712" w:top="1400" w:bottom="1980" w:left="1320" w:right="1180"/>
        </w:sectPr>
      </w:pPr>
    </w:p>
    <w:p>
      <w:pPr>
        <w:pStyle w:val="ListParagraph"/>
        <w:numPr>
          <w:ilvl w:val="1"/>
          <w:numId w:val="2"/>
        </w:numPr>
        <w:tabs>
          <w:tab w:pos="1560" w:val="left" w:leader="none"/>
        </w:tabs>
        <w:spacing w:line="237" w:lineRule="auto" w:before="61" w:after="0"/>
        <w:ind w:left="1560" w:right="143" w:hanging="360"/>
        <w:jc w:val="left"/>
        <w:rPr>
          <w:rFonts w:ascii="Courier New" w:hAnsi="Courier New"/>
          <w:sz w:val="24"/>
        </w:rPr>
      </w:pPr>
      <w:r>
        <w:rPr>
          <w:sz w:val="24"/>
        </w:rPr>
        <w:t>Development</w:t>
      </w:r>
      <w:r>
        <w:rPr>
          <w:spacing w:val="-4"/>
          <w:sz w:val="24"/>
        </w:rPr>
        <w:t> </w:t>
      </w:r>
      <w:r>
        <w:rPr>
          <w:sz w:val="24"/>
        </w:rPr>
        <w:t>of</w:t>
      </w:r>
      <w:r>
        <w:rPr>
          <w:spacing w:val="-4"/>
          <w:sz w:val="24"/>
        </w:rPr>
        <w:t> </w:t>
      </w:r>
      <w:r>
        <w:rPr>
          <w:sz w:val="24"/>
        </w:rPr>
        <w:t>new</w:t>
      </w:r>
      <w:r>
        <w:rPr>
          <w:spacing w:val="-1"/>
          <w:sz w:val="24"/>
        </w:rPr>
        <w:t> </w:t>
      </w:r>
      <w:r>
        <w:rPr>
          <w:sz w:val="24"/>
        </w:rPr>
        <w:t>teaching</w:t>
      </w:r>
      <w:r>
        <w:rPr>
          <w:spacing w:val="-3"/>
          <w:sz w:val="24"/>
        </w:rPr>
        <w:t> </w:t>
      </w:r>
      <w:r>
        <w:rPr>
          <w:sz w:val="24"/>
        </w:rPr>
        <w:t>materials</w:t>
      </w:r>
      <w:r>
        <w:rPr>
          <w:spacing w:val="-5"/>
          <w:sz w:val="24"/>
        </w:rPr>
        <w:t> </w:t>
      </w:r>
      <w:r>
        <w:rPr>
          <w:sz w:val="24"/>
        </w:rPr>
        <w:t>for</w:t>
      </w:r>
      <w:r>
        <w:rPr>
          <w:spacing w:val="-5"/>
          <w:sz w:val="24"/>
        </w:rPr>
        <w:t> </w:t>
      </w:r>
      <w:r>
        <w:rPr>
          <w:sz w:val="24"/>
        </w:rPr>
        <w:t>use</w:t>
      </w:r>
      <w:r>
        <w:rPr>
          <w:spacing w:val="-4"/>
          <w:sz w:val="24"/>
        </w:rPr>
        <w:t> </w:t>
      </w:r>
      <w:r>
        <w:rPr>
          <w:sz w:val="24"/>
        </w:rPr>
        <w:t>beyond</w:t>
      </w:r>
      <w:r>
        <w:rPr>
          <w:spacing w:val="-4"/>
          <w:sz w:val="24"/>
        </w:rPr>
        <w:t> </w:t>
      </w:r>
      <w:r>
        <w:rPr>
          <w:sz w:val="24"/>
        </w:rPr>
        <w:t>the</w:t>
      </w:r>
      <w:r>
        <w:rPr>
          <w:spacing w:val="-4"/>
          <w:sz w:val="24"/>
        </w:rPr>
        <w:t> </w:t>
      </w:r>
      <w:r>
        <w:rPr>
          <w:sz w:val="24"/>
        </w:rPr>
        <w:t>faculty</w:t>
      </w:r>
      <w:r>
        <w:rPr>
          <w:spacing w:val="-6"/>
          <w:sz w:val="24"/>
        </w:rPr>
        <w:t> </w:t>
      </w:r>
      <w:r>
        <w:rPr>
          <w:sz w:val="24"/>
        </w:rPr>
        <w:t>member’s</w:t>
      </w:r>
      <w:r>
        <w:rPr>
          <w:spacing w:val="-3"/>
          <w:sz w:val="24"/>
        </w:rPr>
        <w:t> </w:t>
      </w:r>
      <w:r>
        <w:rPr>
          <w:sz w:val="24"/>
        </w:rPr>
        <w:t>own course, including textbooks, cases, instructor manuals, student guides, websites, videos, and other teaching media</w:t>
      </w:r>
    </w:p>
    <w:p>
      <w:pPr>
        <w:pStyle w:val="ListParagraph"/>
        <w:numPr>
          <w:ilvl w:val="1"/>
          <w:numId w:val="2"/>
        </w:numPr>
        <w:tabs>
          <w:tab w:pos="1560" w:val="left" w:leader="none"/>
        </w:tabs>
        <w:spacing w:line="232" w:lineRule="auto" w:before="5" w:after="0"/>
        <w:ind w:left="1560" w:right="442" w:hanging="360"/>
        <w:jc w:val="left"/>
        <w:rPr>
          <w:rFonts w:ascii="Courier New" w:hAnsi="Courier New"/>
          <w:sz w:val="24"/>
        </w:rPr>
      </w:pPr>
      <w:r>
        <w:rPr>
          <w:sz w:val="24"/>
        </w:rPr>
        <w:t>Grants</w:t>
      </w:r>
      <w:r>
        <w:rPr>
          <w:spacing w:val="-5"/>
          <w:sz w:val="24"/>
        </w:rPr>
        <w:t> </w:t>
      </w:r>
      <w:r>
        <w:rPr>
          <w:sz w:val="24"/>
        </w:rPr>
        <w:t>to</w:t>
      </w:r>
      <w:r>
        <w:rPr>
          <w:spacing w:val="-4"/>
          <w:sz w:val="24"/>
        </w:rPr>
        <w:t> </w:t>
      </w:r>
      <w:r>
        <w:rPr>
          <w:sz w:val="24"/>
        </w:rPr>
        <w:t>develop</w:t>
      </w:r>
      <w:r>
        <w:rPr>
          <w:spacing w:val="-4"/>
          <w:sz w:val="24"/>
        </w:rPr>
        <w:t> </w:t>
      </w:r>
      <w:r>
        <w:rPr>
          <w:sz w:val="24"/>
        </w:rPr>
        <w:t>new</w:t>
      </w:r>
      <w:r>
        <w:rPr>
          <w:spacing w:val="-1"/>
          <w:sz w:val="24"/>
        </w:rPr>
        <w:t> </w:t>
      </w:r>
      <w:r>
        <w:rPr>
          <w:sz w:val="24"/>
        </w:rPr>
        <w:t>courses</w:t>
      </w:r>
      <w:r>
        <w:rPr>
          <w:spacing w:val="-5"/>
          <w:sz w:val="24"/>
        </w:rPr>
        <w:t> </w:t>
      </w:r>
      <w:r>
        <w:rPr>
          <w:sz w:val="24"/>
        </w:rPr>
        <w:t>or</w:t>
      </w:r>
      <w:r>
        <w:rPr>
          <w:spacing w:val="-2"/>
          <w:sz w:val="24"/>
        </w:rPr>
        <w:t> </w:t>
      </w:r>
      <w:r>
        <w:rPr>
          <w:sz w:val="24"/>
        </w:rPr>
        <w:t>revise</w:t>
      </w:r>
      <w:r>
        <w:rPr>
          <w:spacing w:val="-4"/>
          <w:sz w:val="24"/>
        </w:rPr>
        <w:t> </w:t>
      </w:r>
      <w:r>
        <w:rPr>
          <w:sz w:val="24"/>
        </w:rPr>
        <w:t>existing</w:t>
      </w:r>
      <w:r>
        <w:rPr>
          <w:spacing w:val="-5"/>
          <w:sz w:val="24"/>
        </w:rPr>
        <w:t> </w:t>
      </w:r>
      <w:r>
        <w:rPr>
          <w:sz w:val="24"/>
        </w:rPr>
        <w:t>ones,</w:t>
      </w:r>
      <w:r>
        <w:rPr>
          <w:spacing w:val="-5"/>
          <w:sz w:val="24"/>
        </w:rPr>
        <w:t> </w:t>
      </w:r>
      <w:r>
        <w:rPr>
          <w:sz w:val="24"/>
        </w:rPr>
        <w:t>or</w:t>
      </w:r>
      <w:r>
        <w:rPr>
          <w:spacing w:val="-5"/>
          <w:sz w:val="24"/>
        </w:rPr>
        <w:t> </w:t>
      </w:r>
      <w:r>
        <w:rPr>
          <w:sz w:val="24"/>
        </w:rPr>
        <w:t>to</w:t>
      </w:r>
      <w:r>
        <w:rPr>
          <w:spacing w:val="-4"/>
          <w:sz w:val="24"/>
        </w:rPr>
        <w:t> </w:t>
      </w:r>
      <w:r>
        <w:rPr>
          <w:sz w:val="24"/>
        </w:rPr>
        <w:t>develop</w:t>
      </w:r>
      <w:r>
        <w:rPr>
          <w:spacing w:val="-1"/>
          <w:sz w:val="24"/>
        </w:rPr>
        <w:t> </w:t>
      </w:r>
      <w:r>
        <w:rPr>
          <w:sz w:val="24"/>
        </w:rPr>
        <w:t>innovative teaching approaches</w:t>
      </w:r>
    </w:p>
    <w:p>
      <w:pPr>
        <w:pStyle w:val="ListParagraph"/>
        <w:numPr>
          <w:ilvl w:val="1"/>
          <w:numId w:val="2"/>
        </w:numPr>
        <w:tabs>
          <w:tab w:pos="1559" w:val="left" w:leader="none"/>
        </w:tabs>
        <w:spacing w:line="242" w:lineRule="auto" w:before="20" w:after="0"/>
        <w:ind w:left="1559" w:right="590" w:hanging="360"/>
        <w:jc w:val="left"/>
        <w:rPr>
          <w:rFonts w:ascii="Courier New" w:hAnsi="Courier New"/>
          <w:sz w:val="24"/>
        </w:rPr>
      </w:pPr>
      <w:r>
        <w:rPr>
          <w:sz w:val="24"/>
        </w:rPr>
        <w:t>Publication</w:t>
      </w:r>
      <w:r>
        <w:rPr>
          <w:spacing w:val="-14"/>
          <w:sz w:val="24"/>
        </w:rPr>
        <w:t> </w:t>
      </w:r>
      <w:r>
        <w:rPr>
          <w:sz w:val="24"/>
        </w:rPr>
        <w:t>of</w:t>
      </w:r>
      <w:r>
        <w:rPr>
          <w:spacing w:val="-9"/>
          <w:sz w:val="24"/>
        </w:rPr>
        <w:t> </w:t>
      </w:r>
      <w:r>
        <w:rPr>
          <w:sz w:val="24"/>
        </w:rPr>
        <w:t>journal</w:t>
      </w:r>
      <w:r>
        <w:rPr>
          <w:spacing w:val="-13"/>
          <w:sz w:val="24"/>
        </w:rPr>
        <w:t> </w:t>
      </w:r>
      <w:r>
        <w:rPr>
          <w:sz w:val="24"/>
        </w:rPr>
        <w:t>articles</w:t>
      </w:r>
      <w:r>
        <w:rPr>
          <w:spacing w:val="-14"/>
          <w:sz w:val="24"/>
        </w:rPr>
        <w:t> </w:t>
      </w:r>
      <w:r>
        <w:rPr>
          <w:sz w:val="24"/>
        </w:rPr>
        <w:t>devoted</w:t>
      </w:r>
      <w:r>
        <w:rPr>
          <w:spacing w:val="-12"/>
          <w:sz w:val="24"/>
        </w:rPr>
        <w:t> </w:t>
      </w:r>
      <w:r>
        <w:rPr>
          <w:sz w:val="24"/>
        </w:rPr>
        <w:t>to</w:t>
      </w:r>
      <w:r>
        <w:rPr>
          <w:spacing w:val="-13"/>
          <w:sz w:val="24"/>
        </w:rPr>
        <w:t> </w:t>
      </w:r>
      <w:r>
        <w:rPr>
          <w:sz w:val="24"/>
        </w:rPr>
        <w:t>teaching</w:t>
      </w:r>
      <w:r>
        <w:rPr>
          <w:spacing w:val="-14"/>
          <w:sz w:val="24"/>
        </w:rPr>
        <w:t> </w:t>
      </w:r>
      <w:r>
        <w:rPr>
          <w:sz w:val="24"/>
        </w:rPr>
        <w:t>or</w:t>
      </w:r>
      <w:r>
        <w:rPr>
          <w:spacing w:val="-13"/>
          <w:sz w:val="24"/>
        </w:rPr>
        <w:t> </w:t>
      </w:r>
      <w:r>
        <w:rPr>
          <w:sz w:val="24"/>
        </w:rPr>
        <w:t>disciplinary</w:t>
      </w:r>
      <w:r>
        <w:rPr>
          <w:spacing w:val="-12"/>
          <w:sz w:val="24"/>
        </w:rPr>
        <w:t> </w:t>
      </w:r>
      <w:r>
        <w:rPr>
          <w:sz w:val="24"/>
        </w:rPr>
        <w:t>scholarship</w:t>
      </w:r>
      <w:r>
        <w:rPr>
          <w:spacing w:val="-11"/>
          <w:sz w:val="24"/>
        </w:rPr>
        <w:t> </w:t>
      </w:r>
      <w:r>
        <w:rPr>
          <w:sz w:val="24"/>
        </w:rPr>
        <w:t>in either peer-reviewed or non-peer-reviewed outlets</w:t>
      </w:r>
    </w:p>
    <w:p>
      <w:pPr>
        <w:pStyle w:val="ListParagraph"/>
        <w:numPr>
          <w:ilvl w:val="1"/>
          <w:numId w:val="2"/>
        </w:numPr>
        <w:tabs>
          <w:tab w:pos="1560" w:val="left" w:leader="none"/>
        </w:tabs>
        <w:spacing w:line="232" w:lineRule="auto" w:before="0" w:after="0"/>
        <w:ind w:left="1560" w:right="797" w:hanging="360"/>
        <w:jc w:val="left"/>
        <w:rPr>
          <w:rFonts w:ascii="Courier New" w:hAnsi="Courier New"/>
          <w:sz w:val="24"/>
        </w:rPr>
      </w:pPr>
      <w:r>
        <w:rPr>
          <w:sz w:val="24"/>
        </w:rPr>
        <w:t>Presentations</w:t>
      </w:r>
      <w:r>
        <w:rPr>
          <w:spacing w:val="-7"/>
          <w:sz w:val="24"/>
        </w:rPr>
        <w:t> </w:t>
      </w:r>
      <w:r>
        <w:rPr>
          <w:sz w:val="24"/>
        </w:rPr>
        <w:t>at</w:t>
      </w:r>
      <w:r>
        <w:rPr>
          <w:spacing w:val="-4"/>
          <w:sz w:val="24"/>
        </w:rPr>
        <w:t> </w:t>
      </w:r>
      <w:r>
        <w:rPr>
          <w:sz w:val="24"/>
        </w:rPr>
        <w:t>local</w:t>
      </w:r>
      <w:r>
        <w:rPr>
          <w:spacing w:val="-5"/>
          <w:sz w:val="24"/>
        </w:rPr>
        <w:t> </w:t>
      </w:r>
      <w:r>
        <w:rPr>
          <w:sz w:val="24"/>
        </w:rPr>
        <w:t>or</w:t>
      </w:r>
      <w:r>
        <w:rPr>
          <w:spacing w:val="-9"/>
          <w:sz w:val="24"/>
        </w:rPr>
        <w:t> </w:t>
      </w:r>
      <w:r>
        <w:rPr>
          <w:sz w:val="24"/>
        </w:rPr>
        <w:t>national</w:t>
      </w:r>
      <w:r>
        <w:rPr>
          <w:spacing w:val="-5"/>
          <w:sz w:val="24"/>
        </w:rPr>
        <w:t> </w:t>
      </w:r>
      <w:r>
        <w:rPr>
          <w:sz w:val="24"/>
        </w:rPr>
        <w:t>conferences</w:t>
      </w:r>
      <w:r>
        <w:rPr>
          <w:spacing w:val="-7"/>
          <w:sz w:val="24"/>
        </w:rPr>
        <w:t> </w:t>
      </w:r>
      <w:r>
        <w:rPr>
          <w:sz w:val="24"/>
        </w:rPr>
        <w:t>about</w:t>
      </w:r>
      <w:r>
        <w:rPr>
          <w:spacing w:val="-8"/>
          <w:sz w:val="24"/>
        </w:rPr>
        <w:t> </w:t>
      </w:r>
      <w:r>
        <w:rPr>
          <w:sz w:val="24"/>
        </w:rPr>
        <w:t>teaching</w:t>
      </w:r>
      <w:r>
        <w:rPr>
          <w:spacing w:val="-10"/>
          <w:sz w:val="24"/>
        </w:rPr>
        <w:t> </w:t>
      </w:r>
      <w:r>
        <w:rPr>
          <w:sz w:val="24"/>
        </w:rPr>
        <w:t>or</w:t>
      </w:r>
      <w:r>
        <w:rPr>
          <w:spacing w:val="-9"/>
          <w:sz w:val="24"/>
        </w:rPr>
        <w:t> </w:t>
      </w:r>
      <w:r>
        <w:rPr>
          <w:sz w:val="24"/>
        </w:rPr>
        <w:t>disciplinary scholarship issues</w:t>
      </w:r>
    </w:p>
    <w:p>
      <w:pPr>
        <w:pStyle w:val="ListParagraph"/>
        <w:numPr>
          <w:ilvl w:val="1"/>
          <w:numId w:val="2"/>
        </w:numPr>
        <w:tabs>
          <w:tab w:pos="1558" w:val="left" w:leader="none"/>
        </w:tabs>
        <w:spacing w:line="297" w:lineRule="exact" w:before="3" w:after="0"/>
        <w:ind w:left="1558" w:right="0" w:hanging="359"/>
        <w:jc w:val="left"/>
        <w:rPr>
          <w:rFonts w:ascii="Courier New" w:hAnsi="Courier New"/>
          <w:sz w:val="24"/>
        </w:rPr>
      </w:pPr>
      <w:r>
        <w:rPr>
          <w:sz w:val="24"/>
        </w:rPr>
        <w:t>Mentoring</w:t>
      </w:r>
      <w:r>
        <w:rPr>
          <w:spacing w:val="-13"/>
          <w:sz w:val="24"/>
        </w:rPr>
        <w:t> </w:t>
      </w:r>
      <w:r>
        <w:rPr>
          <w:sz w:val="24"/>
        </w:rPr>
        <w:t>of</w:t>
      </w:r>
      <w:r>
        <w:rPr>
          <w:spacing w:val="-6"/>
          <w:sz w:val="24"/>
        </w:rPr>
        <w:t> </w:t>
      </w:r>
      <w:r>
        <w:rPr>
          <w:sz w:val="24"/>
        </w:rPr>
        <w:t>other</w:t>
      </w:r>
      <w:r>
        <w:rPr>
          <w:spacing w:val="-10"/>
          <w:sz w:val="24"/>
        </w:rPr>
        <w:t> </w:t>
      </w:r>
      <w:r>
        <w:rPr>
          <w:sz w:val="24"/>
        </w:rPr>
        <w:t>faculty</w:t>
      </w:r>
      <w:r>
        <w:rPr>
          <w:spacing w:val="-10"/>
          <w:sz w:val="24"/>
        </w:rPr>
        <w:t> </w:t>
      </w:r>
      <w:r>
        <w:rPr>
          <w:sz w:val="24"/>
        </w:rPr>
        <w:t>to</w:t>
      </w:r>
      <w:r>
        <w:rPr>
          <w:spacing w:val="-9"/>
          <w:sz w:val="24"/>
        </w:rPr>
        <w:t> </w:t>
      </w:r>
      <w:r>
        <w:rPr>
          <w:sz w:val="24"/>
        </w:rPr>
        <w:t>help</w:t>
      </w:r>
      <w:r>
        <w:rPr>
          <w:spacing w:val="-7"/>
          <w:sz w:val="24"/>
        </w:rPr>
        <w:t> </w:t>
      </w:r>
      <w:r>
        <w:rPr>
          <w:sz w:val="24"/>
        </w:rPr>
        <w:t>improve</w:t>
      </w:r>
      <w:r>
        <w:rPr>
          <w:spacing w:val="-9"/>
          <w:sz w:val="24"/>
        </w:rPr>
        <w:t> </w:t>
      </w:r>
      <w:r>
        <w:rPr>
          <w:sz w:val="24"/>
        </w:rPr>
        <w:t>their</w:t>
      </w:r>
      <w:r>
        <w:rPr>
          <w:spacing w:val="-9"/>
          <w:sz w:val="24"/>
        </w:rPr>
        <w:t> </w:t>
      </w:r>
      <w:r>
        <w:rPr>
          <w:spacing w:val="-2"/>
          <w:sz w:val="24"/>
        </w:rPr>
        <w:t>teaching</w:t>
      </w:r>
    </w:p>
    <w:p>
      <w:pPr>
        <w:pStyle w:val="ListParagraph"/>
        <w:numPr>
          <w:ilvl w:val="1"/>
          <w:numId w:val="2"/>
        </w:numPr>
        <w:tabs>
          <w:tab w:pos="1559" w:val="left" w:leader="none"/>
        </w:tabs>
        <w:spacing w:line="293" w:lineRule="exact" w:before="0" w:after="0"/>
        <w:ind w:left="1559" w:right="0" w:hanging="359"/>
        <w:jc w:val="left"/>
        <w:rPr>
          <w:rFonts w:ascii="Courier New" w:hAnsi="Courier New"/>
          <w:sz w:val="24"/>
        </w:rPr>
      </w:pPr>
      <w:r>
        <w:rPr>
          <w:sz w:val="24"/>
        </w:rPr>
        <w:t>Contributions</w:t>
      </w:r>
      <w:r>
        <w:rPr>
          <w:spacing w:val="-4"/>
          <w:sz w:val="24"/>
        </w:rPr>
        <w:t> </w:t>
      </w:r>
      <w:r>
        <w:rPr>
          <w:sz w:val="24"/>
        </w:rPr>
        <w:t>to</w:t>
      </w:r>
      <w:r>
        <w:rPr>
          <w:spacing w:val="-2"/>
          <w:sz w:val="24"/>
        </w:rPr>
        <w:t> </w:t>
      </w:r>
      <w:r>
        <w:rPr>
          <w:sz w:val="24"/>
        </w:rPr>
        <w:t>local and</w:t>
      </w:r>
      <w:r>
        <w:rPr>
          <w:spacing w:val="1"/>
          <w:sz w:val="24"/>
        </w:rPr>
        <w:t> </w:t>
      </w:r>
      <w:r>
        <w:rPr>
          <w:sz w:val="24"/>
        </w:rPr>
        <w:t>national</w:t>
      </w:r>
      <w:r>
        <w:rPr>
          <w:spacing w:val="-3"/>
          <w:sz w:val="24"/>
        </w:rPr>
        <w:t> </w:t>
      </w:r>
      <w:r>
        <w:rPr>
          <w:sz w:val="24"/>
        </w:rPr>
        <w:t>news</w:t>
      </w:r>
      <w:r>
        <w:rPr>
          <w:spacing w:val="-3"/>
          <w:sz w:val="24"/>
        </w:rPr>
        <w:t> </w:t>
      </w:r>
      <w:r>
        <w:rPr>
          <w:sz w:val="24"/>
        </w:rPr>
        <w:t>media </w:t>
      </w:r>
      <w:r>
        <w:rPr>
          <w:spacing w:val="-2"/>
          <w:sz w:val="24"/>
        </w:rPr>
        <w:t>outlets.</w:t>
      </w:r>
    </w:p>
    <w:p>
      <w:pPr>
        <w:pStyle w:val="ListParagraph"/>
        <w:numPr>
          <w:ilvl w:val="1"/>
          <w:numId w:val="2"/>
        </w:numPr>
        <w:tabs>
          <w:tab w:pos="1559" w:val="left" w:leader="none"/>
        </w:tabs>
        <w:spacing w:line="240" w:lineRule="auto" w:before="0" w:after="0"/>
        <w:ind w:left="1559" w:right="212" w:hanging="360"/>
        <w:jc w:val="left"/>
        <w:rPr>
          <w:rFonts w:ascii="Courier New" w:hAnsi="Courier New"/>
          <w:sz w:val="24"/>
        </w:rPr>
      </w:pPr>
      <w:r>
        <w:rPr>
          <w:sz w:val="24"/>
        </w:rPr>
        <w:t>Contributions to the public</w:t>
      </w:r>
      <w:r>
        <w:rPr>
          <w:spacing w:val="40"/>
          <w:sz w:val="24"/>
        </w:rPr>
        <w:t> </w:t>
      </w:r>
      <w:r>
        <w:rPr>
          <w:sz w:val="24"/>
        </w:rPr>
        <w:t>welfare through teaching</w:t>
      </w:r>
      <w:r>
        <w:rPr>
          <w:spacing w:val="-1"/>
          <w:sz w:val="24"/>
        </w:rPr>
        <w:t> </w:t>
      </w:r>
      <w:r>
        <w:rPr>
          <w:sz w:val="24"/>
        </w:rPr>
        <w:t>that calls</w:t>
      </w:r>
      <w:r>
        <w:rPr>
          <w:spacing w:val="-2"/>
          <w:sz w:val="24"/>
        </w:rPr>
        <w:t> </w:t>
      </w:r>
      <w:r>
        <w:rPr>
          <w:sz w:val="24"/>
        </w:rPr>
        <w:t>upon a faculty member’s</w:t>
      </w:r>
      <w:r>
        <w:rPr>
          <w:spacing w:val="-2"/>
          <w:sz w:val="24"/>
        </w:rPr>
        <w:t> </w:t>
      </w:r>
      <w:r>
        <w:rPr>
          <w:sz w:val="24"/>
        </w:rPr>
        <w:t>professional</w:t>
      </w:r>
      <w:r>
        <w:rPr>
          <w:spacing w:val="-5"/>
          <w:sz w:val="24"/>
        </w:rPr>
        <w:t> </w:t>
      </w:r>
      <w:r>
        <w:rPr>
          <w:sz w:val="24"/>
        </w:rPr>
        <w:t>expertise in the discipline or as</w:t>
      </w:r>
      <w:r>
        <w:rPr>
          <w:spacing w:val="-1"/>
          <w:sz w:val="24"/>
        </w:rPr>
        <w:t> </w:t>
      </w:r>
      <w:r>
        <w:rPr>
          <w:sz w:val="24"/>
        </w:rPr>
        <w:t>a teacher.</w:t>
      </w:r>
      <w:r>
        <w:rPr>
          <w:spacing w:val="-1"/>
          <w:sz w:val="24"/>
        </w:rPr>
        <w:t> </w:t>
      </w:r>
      <w:r>
        <w:rPr>
          <w:sz w:val="24"/>
        </w:rPr>
        <w:t>Some examples include</w:t>
      </w:r>
      <w:r>
        <w:rPr>
          <w:spacing w:val="-14"/>
          <w:sz w:val="24"/>
        </w:rPr>
        <w:t> </w:t>
      </w:r>
      <w:r>
        <w:rPr>
          <w:sz w:val="24"/>
        </w:rPr>
        <w:t>engaging</w:t>
      </w:r>
      <w:r>
        <w:rPr>
          <w:spacing w:val="-14"/>
          <w:sz w:val="24"/>
        </w:rPr>
        <w:t> </w:t>
      </w:r>
      <w:r>
        <w:rPr>
          <w:sz w:val="24"/>
        </w:rPr>
        <w:t>students</w:t>
      </w:r>
      <w:r>
        <w:rPr>
          <w:spacing w:val="-13"/>
          <w:sz w:val="24"/>
        </w:rPr>
        <w:t> </w:t>
      </w:r>
      <w:r>
        <w:rPr>
          <w:sz w:val="24"/>
        </w:rPr>
        <w:t>in</w:t>
      </w:r>
      <w:r>
        <w:rPr>
          <w:spacing w:val="-11"/>
          <w:sz w:val="24"/>
        </w:rPr>
        <w:t> </w:t>
      </w:r>
      <w:r>
        <w:rPr>
          <w:sz w:val="24"/>
        </w:rPr>
        <w:t>community</w:t>
      </w:r>
      <w:r>
        <w:rPr>
          <w:spacing w:val="-14"/>
          <w:sz w:val="24"/>
        </w:rPr>
        <w:t> </w:t>
      </w:r>
      <w:r>
        <w:rPr>
          <w:sz w:val="24"/>
        </w:rPr>
        <w:t>service</w:t>
      </w:r>
      <w:r>
        <w:rPr>
          <w:spacing w:val="-14"/>
          <w:sz w:val="24"/>
        </w:rPr>
        <w:t> </w:t>
      </w:r>
      <w:r>
        <w:rPr>
          <w:sz w:val="24"/>
        </w:rPr>
        <w:t>or</w:t>
      </w:r>
      <w:r>
        <w:rPr>
          <w:spacing w:val="-12"/>
          <w:sz w:val="24"/>
        </w:rPr>
        <w:t> </w:t>
      </w:r>
      <w:r>
        <w:rPr>
          <w:sz w:val="24"/>
        </w:rPr>
        <w:t>experiential</w:t>
      </w:r>
      <w:r>
        <w:rPr>
          <w:spacing w:val="-13"/>
          <w:sz w:val="24"/>
        </w:rPr>
        <w:t> </w:t>
      </w:r>
      <w:r>
        <w:rPr>
          <w:sz w:val="24"/>
        </w:rPr>
        <w:t>projects,</w:t>
      </w:r>
      <w:r>
        <w:rPr>
          <w:spacing w:val="-14"/>
          <w:sz w:val="24"/>
        </w:rPr>
        <w:t> </w:t>
      </w:r>
      <w:r>
        <w:rPr>
          <w:sz w:val="24"/>
        </w:rPr>
        <w:t>executive education, and/or significant participation/leadership in professional events or professional</w:t>
      </w:r>
      <w:r>
        <w:rPr>
          <w:spacing w:val="-11"/>
          <w:sz w:val="24"/>
        </w:rPr>
        <w:t> </w:t>
      </w:r>
      <w:r>
        <w:rPr>
          <w:sz w:val="24"/>
        </w:rPr>
        <w:t>associations</w:t>
      </w:r>
      <w:r>
        <w:rPr>
          <w:spacing w:val="-12"/>
          <w:sz w:val="24"/>
        </w:rPr>
        <w:t> </w:t>
      </w:r>
      <w:r>
        <w:rPr>
          <w:sz w:val="24"/>
        </w:rPr>
        <w:t>that</w:t>
      </w:r>
      <w:r>
        <w:rPr>
          <w:spacing w:val="-10"/>
          <w:sz w:val="24"/>
        </w:rPr>
        <w:t> </w:t>
      </w:r>
      <w:r>
        <w:rPr>
          <w:sz w:val="24"/>
        </w:rPr>
        <w:t>focus</w:t>
      </w:r>
      <w:r>
        <w:rPr>
          <w:spacing w:val="-9"/>
          <w:sz w:val="24"/>
        </w:rPr>
        <w:t> </w:t>
      </w:r>
      <w:r>
        <w:rPr>
          <w:sz w:val="24"/>
        </w:rPr>
        <w:t>on</w:t>
      </w:r>
      <w:r>
        <w:rPr>
          <w:spacing w:val="-10"/>
          <w:sz w:val="24"/>
        </w:rPr>
        <w:t> </w:t>
      </w:r>
      <w:r>
        <w:rPr>
          <w:sz w:val="24"/>
        </w:rPr>
        <w:t>the</w:t>
      </w:r>
      <w:r>
        <w:rPr>
          <w:spacing w:val="-11"/>
          <w:sz w:val="24"/>
        </w:rPr>
        <w:t> </w:t>
      </w:r>
      <w:r>
        <w:rPr>
          <w:sz w:val="24"/>
        </w:rPr>
        <w:t>practice</w:t>
      </w:r>
      <w:r>
        <w:rPr>
          <w:spacing w:val="-8"/>
          <w:sz w:val="24"/>
        </w:rPr>
        <w:t> </w:t>
      </w:r>
      <w:r>
        <w:rPr>
          <w:sz w:val="24"/>
        </w:rPr>
        <w:t>of</w:t>
      </w:r>
      <w:r>
        <w:rPr>
          <w:spacing w:val="-10"/>
          <w:sz w:val="24"/>
        </w:rPr>
        <w:t> </w:t>
      </w:r>
      <w:r>
        <w:rPr>
          <w:sz w:val="24"/>
        </w:rPr>
        <w:t>business,</w:t>
      </w:r>
      <w:r>
        <w:rPr>
          <w:spacing w:val="-9"/>
          <w:sz w:val="24"/>
        </w:rPr>
        <w:t> </w:t>
      </w:r>
      <w:r>
        <w:rPr>
          <w:sz w:val="24"/>
        </w:rPr>
        <w:t>management,</w:t>
      </w:r>
      <w:r>
        <w:rPr>
          <w:spacing w:val="-11"/>
          <w:sz w:val="24"/>
        </w:rPr>
        <w:t> </w:t>
      </w:r>
      <w:r>
        <w:rPr>
          <w:sz w:val="24"/>
        </w:rPr>
        <w:t>and related</w:t>
      </w:r>
      <w:r>
        <w:rPr>
          <w:spacing w:val="-1"/>
          <w:sz w:val="24"/>
        </w:rPr>
        <w:t> </w:t>
      </w:r>
      <w:r>
        <w:rPr>
          <w:sz w:val="24"/>
        </w:rPr>
        <w:t>issues. Engagement in</w:t>
      </w:r>
      <w:r>
        <w:rPr>
          <w:spacing w:val="-1"/>
          <w:sz w:val="24"/>
        </w:rPr>
        <w:t> </w:t>
      </w:r>
      <w:r>
        <w:rPr>
          <w:sz w:val="24"/>
        </w:rPr>
        <w:t>out-of-class pedagogical activities</w:t>
      </w:r>
      <w:r>
        <w:rPr>
          <w:spacing w:val="-2"/>
          <w:sz w:val="24"/>
        </w:rPr>
        <w:t> </w:t>
      </w:r>
      <w:r>
        <w:rPr>
          <w:sz w:val="24"/>
        </w:rPr>
        <w:t>(such as</w:t>
      </w:r>
      <w:r>
        <w:rPr>
          <w:spacing w:val="-2"/>
          <w:sz w:val="24"/>
        </w:rPr>
        <w:t> </w:t>
      </w:r>
      <w:r>
        <w:rPr>
          <w:sz w:val="24"/>
        </w:rPr>
        <w:t>advising or supervising students regarding independent studies)</w:t>
      </w:r>
    </w:p>
    <w:p>
      <w:pPr>
        <w:pStyle w:val="BodyText"/>
        <w:spacing w:before="283"/>
        <w:ind w:left="119"/>
      </w:pPr>
      <w:r>
        <w:rPr/>
        <w:t>Considerations</w:t>
      </w:r>
      <w:r>
        <w:rPr>
          <w:spacing w:val="-4"/>
        </w:rPr>
        <w:t> </w:t>
      </w:r>
      <w:r>
        <w:rPr/>
        <w:t>that</w:t>
      </w:r>
      <w:r>
        <w:rPr>
          <w:spacing w:val="-3"/>
        </w:rPr>
        <w:t> </w:t>
      </w:r>
      <w:r>
        <w:rPr/>
        <w:t>may</w:t>
      </w:r>
      <w:r>
        <w:rPr>
          <w:spacing w:val="-4"/>
        </w:rPr>
        <w:t> </w:t>
      </w:r>
      <w:r>
        <w:rPr/>
        <w:t>be</w:t>
      </w:r>
      <w:r>
        <w:rPr>
          <w:spacing w:val="-3"/>
        </w:rPr>
        <w:t> </w:t>
      </w:r>
      <w:r>
        <w:rPr/>
        <w:t>taken</w:t>
      </w:r>
      <w:r>
        <w:rPr>
          <w:spacing w:val="1"/>
        </w:rPr>
        <w:t> </w:t>
      </w:r>
      <w:r>
        <w:rPr/>
        <w:t>into</w:t>
      </w:r>
      <w:r>
        <w:rPr>
          <w:spacing w:val="-1"/>
        </w:rPr>
        <w:t> </w:t>
      </w:r>
      <w:r>
        <w:rPr/>
        <w:t>account</w:t>
      </w:r>
      <w:r>
        <w:rPr>
          <w:spacing w:val="-2"/>
        </w:rPr>
        <w:t> </w:t>
      </w:r>
      <w:r>
        <w:rPr/>
        <w:t>for</w:t>
      </w:r>
      <w:r>
        <w:rPr>
          <w:spacing w:val="-1"/>
        </w:rPr>
        <w:t> </w:t>
      </w:r>
      <w:r>
        <w:rPr/>
        <w:t>service include</w:t>
      </w:r>
      <w:r>
        <w:rPr>
          <w:spacing w:val="-3"/>
        </w:rPr>
        <w:t> </w:t>
      </w:r>
      <w:r>
        <w:rPr/>
        <w:t>the</w:t>
      </w:r>
      <w:r>
        <w:rPr>
          <w:spacing w:val="-2"/>
        </w:rPr>
        <w:t> following:</w:t>
      </w:r>
    </w:p>
    <w:p>
      <w:pPr>
        <w:pStyle w:val="Heading2"/>
        <w:spacing w:before="292"/>
        <w:rPr>
          <w:i/>
        </w:rPr>
      </w:pPr>
      <w:r>
        <w:rPr>
          <w:i/>
          <w:spacing w:val="-2"/>
        </w:rPr>
        <w:t>Service</w:t>
      </w:r>
    </w:p>
    <w:p>
      <w:pPr>
        <w:pStyle w:val="ListParagraph"/>
        <w:numPr>
          <w:ilvl w:val="0"/>
          <w:numId w:val="2"/>
        </w:numPr>
        <w:tabs>
          <w:tab w:pos="839" w:val="left" w:leader="none"/>
        </w:tabs>
        <w:spacing w:line="240" w:lineRule="auto" w:before="292" w:after="0"/>
        <w:ind w:left="839" w:right="0" w:hanging="360"/>
        <w:jc w:val="left"/>
        <w:rPr>
          <w:sz w:val="24"/>
        </w:rPr>
      </w:pPr>
      <w:r>
        <w:rPr>
          <w:sz w:val="24"/>
        </w:rPr>
        <w:t>School</w:t>
      </w:r>
      <w:r>
        <w:rPr>
          <w:spacing w:val="-2"/>
          <w:sz w:val="24"/>
        </w:rPr>
        <w:t> </w:t>
      </w:r>
      <w:r>
        <w:rPr>
          <w:sz w:val="24"/>
        </w:rPr>
        <w:t>and</w:t>
      </w:r>
      <w:r>
        <w:rPr>
          <w:spacing w:val="-2"/>
          <w:sz w:val="24"/>
        </w:rPr>
        <w:t> </w:t>
      </w:r>
      <w:r>
        <w:rPr>
          <w:sz w:val="24"/>
        </w:rPr>
        <w:t>University</w:t>
      </w:r>
      <w:r>
        <w:rPr>
          <w:spacing w:val="-2"/>
          <w:sz w:val="24"/>
        </w:rPr>
        <w:t> Service</w:t>
      </w:r>
    </w:p>
    <w:p>
      <w:pPr>
        <w:pStyle w:val="ListParagraph"/>
        <w:numPr>
          <w:ilvl w:val="1"/>
          <w:numId w:val="2"/>
        </w:numPr>
        <w:tabs>
          <w:tab w:pos="1558" w:val="left" w:leader="none"/>
        </w:tabs>
        <w:spacing w:line="297" w:lineRule="exact" w:before="3" w:after="0"/>
        <w:ind w:left="1558" w:right="0" w:hanging="359"/>
        <w:jc w:val="left"/>
        <w:rPr>
          <w:rFonts w:ascii="Courier New" w:hAnsi="Courier New"/>
          <w:sz w:val="24"/>
        </w:rPr>
      </w:pPr>
      <w:r>
        <w:rPr>
          <w:sz w:val="24"/>
        </w:rPr>
        <w:t>Service</w:t>
      </w:r>
      <w:r>
        <w:rPr>
          <w:spacing w:val="-1"/>
          <w:sz w:val="24"/>
        </w:rPr>
        <w:t> </w:t>
      </w:r>
      <w:r>
        <w:rPr>
          <w:sz w:val="24"/>
        </w:rPr>
        <w:t>on</w:t>
      </w:r>
      <w:r>
        <w:rPr>
          <w:spacing w:val="-2"/>
          <w:sz w:val="24"/>
        </w:rPr>
        <w:t> </w:t>
      </w:r>
      <w:r>
        <w:rPr>
          <w:sz w:val="24"/>
        </w:rPr>
        <w:t>department,</w:t>
      </w:r>
      <w:r>
        <w:rPr>
          <w:spacing w:val="-4"/>
          <w:sz w:val="24"/>
        </w:rPr>
        <w:t> </w:t>
      </w:r>
      <w:r>
        <w:rPr>
          <w:sz w:val="24"/>
        </w:rPr>
        <w:t>Kelley</w:t>
      </w:r>
      <w:r>
        <w:rPr>
          <w:spacing w:val="-1"/>
          <w:sz w:val="24"/>
        </w:rPr>
        <w:t> </w:t>
      </w:r>
      <w:r>
        <w:rPr>
          <w:sz w:val="24"/>
        </w:rPr>
        <w:t>School,</w:t>
      </w:r>
      <w:r>
        <w:rPr>
          <w:spacing w:val="-1"/>
          <w:sz w:val="24"/>
        </w:rPr>
        <w:t> </w:t>
      </w:r>
      <w:r>
        <w:rPr>
          <w:sz w:val="24"/>
        </w:rPr>
        <w:t>or</w:t>
      </w:r>
      <w:r>
        <w:rPr>
          <w:spacing w:val="-3"/>
          <w:sz w:val="24"/>
        </w:rPr>
        <w:t> </w:t>
      </w:r>
      <w:r>
        <w:rPr>
          <w:sz w:val="24"/>
        </w:rPr>
        <w:t>University</w:t>
      </w:r>
      <w:r>
        <w:rPr>
          <w:spacing w:val="-1"/>
          <w:sz w:val="24"/>
        </w:rPr>
        <w:t> </w:t>
      </w:r>
      <w:r>
        <w:rPr>
          <w:spacing w:val="-2"/>
          <w:sz w:val="24"/>
        </w:rPr>
        <w:t>committees</w:t>
      </w:r>
    </w:p>
    <w:p>
      <w:pPr>
        <w:pStyle w:val="ListParagraph"/>
        <w:numPr>
          <w:ilvl w:val="1"/>
          <w:numId w:val="2"/>
        </w:numPr>
        <w:tabs>
          <w:tab w:pos="1559" w:val="left" w:leader="none"/>
        </w:tabs>
        <w:spacing w:line="232" w:lineRule="auto" w:before="2" w:after="0"/>
        <w:ind w:left="1559" w:right="818" w:hanging="360"/>
        <w:jc w:val="left"/>
        <w:rPr>
          <w:rFonts w:ascii="Courier New" w:hAnsi="Courier New"/>
          <w:sz w:val="24"/>
        </w:rPr>
      </w:pPr>
      <w:r>
        <w:rPr>
          <w:sz w:val="24"/>
        </w:rPr>
        <w:t>Efforts to engage students with business professionals or with professional communities</w:t>
      </w:r>
      <w:r>
        <w:rPr>
          <w:spacing w:val="-4"/>
          <w:sz w:val="24"/>
        </w:rPr>
        <w:t> </w:t>
      </w:r>
      <w:r>
        <w:rPr>
          <w:sz w:val="24"/>
        </w:rPr>
        <w:t>(including,</w:t>
      </w:r>
      <w:r>
        <w:rPr>
          <w:spacing w:val="-6"/>
          <w:sz w:val="24"/>
        </w:rPr>
        <w:t> </w:t>
      </w:r>
      <w:r>
        <w:rPr>
          <w:sz w:val="24"/>
        </w:rPr>
        <w:t>but</w:t>
      </w:r>
      <w:r>
        <w:rPr>
          <w:spacing w:val="-5"/>
          <w:sz w:val="24"/>
        </w:rPr>
        <w:t> </w:t>
      </w:r>
      <w:r>
        <w:rPr>
          <w:sz w:val="24"/>
        </w:rPr>
        <w:t>not</w:t>
      </w:r>
      <w:r>
        <w:rPr>
          <w:spacing w:val="-2"/>
          <w:sz w:val="24"/>
        </w:rPr>
        <w:t> </w:t>
      </w:r>
      <w:r>
        <w:rPr>
          <w:sz w:val="24"/>
        </w:rPr>
        <w:t>limited</w:t>
      </w:r>
      <w:r>
        <w:rPr>
          <w:spacing w:val="-5"/>
          <w:sz w:val="24"/>
        </w:rPr>
        <w:t> </w:t>
      </w:r>
      <w:r>
        <w:rPr>
          <w:sz w:val="24"/>
        </w:rPr>
        <w:t>to,</w:t>
      </w:r>
      <w:r>
        <w:rPr>
          <w:spacing w:val="-6"/>
          <w:sz w:val="24"/>
        </w:rPr>
        <w:t> </w:t>
      </w:r>
      <w:r>
        <w:rPr>
          <w:sz w:val="24"/>
        </w:rPr>
        <w:t>outreach</w:t>
      </w:r>
      <w:r>
        <w:rPr>
          <w:spacing w:val="-2"/>
          <w:sz w:val="24"/>
        </w:rPr>
        <w:t> </w:t>
      </w:r>
      <w:r>
        <w:rPr>
          <w:sz w:val="24"/>
        </w:rPr>
        <w:t>activities</w:t>
      </w:r>
      <w:r>
        <w:rPr>
          <w:spacing w:val="-4"/>
          <w:sz w:val="24"/>
        </w:rPr>
        <w:t> </w:t>
      </w:r>
      <w:r>
        <w:rPr>
          <w:sz w:val="24"/>
        </w:rPr>
        <w:t>and</w:t>
      </w:r>
      <w:r>
        <w:rPr>
          <w:spacing w:val="-5"/>
          <w:sz w:val="24"/>
        </w:rPr>
        <w:t> </w:t>
      </w:r>
      <w:r>
        <w:rPr>
          <w:sz w:val="24"/>
        </w:rPr>
        <w:t>projects)</w:t>
      </w:r>
    </w:p>
    <w:p>
      <w:pPr>
        <w:pStyle w:val="ListParagraph"/>
        <w:numPr>
          <w:ilvl w:val="1"/>
          <w:numId w:val="2"/>
        </w:numPr>
        <w:tabs>
          <w:tab w:pos="1559" w:val="left" w:leader="none"/>
        </w:tabs>
        <w:spacing w:line="232" w:lineRule="auto" w:before="10" w:after="0"/>
        <w:ind w:left="1559" w:right="160" w:hanging="360"/>
        <w:jc w:val="left"/>
        <w:rPr>
          <w:rFonts w:ascii="Courier New" w:hAnsi="Courier New"/>
          <w:sz w:val="24"/>
        </w:rPr>
      </w:pPr>
      <w:r>
        <w:rPr>
          <w:sz w:val="24"/>
        </w:rPr>
        <w:t>Leadership</w:t>
      </w:r>
      <w:r>
        <w:rPr>
          <w:spacing w:val="-5"/>
          <w:sz w:val="24"/>
        </w:rPr>
        <w:t> </w:t>
      </w:r>
      <w:r>
        <w:rPr>
          <w:sz w:val="24"/>
        </w:rPr>
        <w:t>of</w:t>
      </w:r>
      <w:r>
        <w:rPr>
          <w:spacing w:val="-5"/>
          <w:sz w:val="24"/>
        </w:rPr>
        <w:t> </w:t>
      </w:r>
      <w:r>
        <w:rPr>
          <w:sz w:val="24"/>
        </w:rPr>
        <w:t>or</w:t>
      </w:r>
      <w:r>
        <w:rPr>
          <w:spacing w:val="-6"/>
          <w:sz w:val="24"/>
        </w:rPr>
        <w:t> </w:t>
      </w:r>
      <w:r>
        <w:rPr>
          <w:sz w:val="24"/>
        </w:rPr>
        <w:t>participation</w:t>
      </w:r>
      <w:r>
        <w:rPr>
          <w:spacing w:val="-5"/>
          <w:sz w:val="24"/>
        </w:rPr>
        <w:t> </w:t>
      </w:r>
      <w:r>
        <w:rPr>
          <w:sz w:val="24"/>
        </w:rPr>
        <w:t>in</w:t>
      </w:r>
      <w:r>
        <w:rPr>
          <w:spacing w:val="-5"/>
          <w:sz w:val="24"/>
        </w:rPr>
        <w:t> </w:t>
      </w:r>
      <w:r>
        <w:rPr>
          <w:sz w:val="24"/>
        </w:rPr>
        <w:t>departmental</w:t>
      </w:r>
      <w:r>
        <w:rPr>
          <w:spacing w:val="-3"/>
          <w:sz w:val="24"/>
        </w:rPr>
        <w:t> </w:t>
      </w:r>
      <w:r>
        <w:rPr>
          <w:sz w:val="24"/>
        </w:rPr>
        <w:t>activities</w:t>
      </w:r>
      <w:r>
        <w:rPr>
          <w:spacing w:val="-6"/>
          <w:sz w:val="24"/>
        </w:rPr>
        <w:t> </w:t>
      </w:r>
      <w:r>
        <w:rPr>
          <w:sz w:val="24"/>
        </w:rPr>
        <w:t>that</w:t>
      </w:r>
      <w:r>
        <w:rPr>
          <w:spacing w:val="-2"/>
          <w:sz w:val="24"/>
        </w:rPr>
        <w:t> </w:t>
      </w:r>
      <w:r>
        <w:rPr>
          <w:sz w:val="24"/>
        </w:rPr>
        <w:t>support</w:t>
      </w:r>
      <w:r>
        <w:rPr>
          <w:spacing w:val="-2"/>
          <w:sz w:val="24"/>
        </w:rPr>
        <w:t> </w:t>
      </w:r>
      <w:r>
        <w:rPr>
          <w:sz w:val="24"/>
        </w:rPr>
        <w:t>teaching</w:t>
      </w:r>
      <w:r>
        <w:rPr>
          <w:spacing w:val="-4"/>
          <w:sz w:val="24"/>
        </w:rPr>
        <w:t> </w:t>
      </w:r>
      <w:r>
        <w:rPr>
          <w:sz w:val="24"/>
        </w:rPr>
        <w:t>and student learning</w:t>
      </w:r>
    </w:p>
    <w:p>
      <w:pPr>
        <w:pStyle w:val="ListParagraph"/>
        <w:numPr>
          <w:ilvl w:val="1"/>
          <w:numId w:val="2"/>
        </w:numPr>
        <w:tabs>
          <w:tab w:pos="1559" w:val="left" w:leader="none"/>
        </w:tabs>
        <w:spacing w:line="232" w:lineRule="auto" w:before="9" w:after="0"/>
        <w:ind w:left="1559" w:right="160" w:hanging="360"/>
        <w:jc w:val="left"/>
        <w:rPr>
          <w:rFonts w:ascii="Courier New" w:hAnsi="Courier New"/>
          <w:sz w:val="24"/>
        </w:rPr>
      </w:pPr>
      <w:r>
        <w:rPr>
          <w:sz w:val="24"/>
        </w:rPr>
        <w:t>Leadership</w:t>
      </w:r>
      <w:r>
        <w:rPr>
          <w:spacing w:val="-4"/>
          <w:sz w:val="24"/>
        </w:rPr>
        <w:t> </w:t>
      </w:r>
      <w:r>
        <w:rPr>
          <w:sz w:val="24"/>
        </w:rPr>
        <w:t>of</w:t>
      </w:r>
      <w:r>
        <w:rPr>
          <w:spacing w:val="-4"/>
          <w:sz w:val="24"/>
        </w:rPr>
        <w:t> </w:t>
      </w:r>
      <w:r>
        <w:rPr>
          <w:sz w:val="24"/>
        </w:rPr>
        <w:t>or</w:t>
      </w:r>
      <w:r>
        <w:rPr>
          <w:spacing w:val="-5"/>
          <w:sz w:val="24"/>
        </w:rPr>
        <w:t> </w:t>
      </w:r>
      <w:r>
        <w:rPr>
          <w:sz w:val="24"/>
        </w:rPr>
        <w:t>participation</w:t>
      </w:r>
      <w:r>
        <w:rPr>
          <w:spacing w:val="-4"/>
          <w:sz w:val="24"/>
        </w:rPr>
        <w:t> </w:t>
      </w:r>
      <w:r>
        <w:rPr>
          <w:sz w:val="24"/>
        </w:rPr>
        <w:t>in</w:t>
      </w:r>
      <w:r>
        <w:rPr>
          <w:spacing w:val="-4"/>
          <w:sz w:val="24"/>
        </w:rPr>
        <w:t> </w:t>
      </w:r>
      <w:r>
        <w:rPr>
          <w:sz w:val="24"/>
        </w:rPr>
        <w:t>activities</w:t>
      </w:r>
      <w:r>
        <w:rPr>
          <w:spacing w:val="-3"/>
          <w:sz w:val="24"/>
        </w:rPr>
        <w:t> </w:t>
      </w:r>
      <w:r>
        <w:rPr>
          <w:sz w:val="24"/>
        </w:rPr>
        <w:t>that</w:t>
      </w:r>
      <w:r>
        <w:rPr>
          <w:spacing w:val="-1"/>
          <w:sz w:val="24"/>
        </w:rPr>
        <w:t> </w:t>
      </w:r>
      <w:r>
        <w:rPr>
          <w:sz w:val="24"/>
        </w:rPr>
        <w:t>support</w:t>
      </w:r>
      <w:r>
        <w:rPr>
          <w:spacing w:val="-4"/>
          <w:sz w:val="24"/>
        </w:rPr>
        <w:t> </w:t>
      </w:r>
      <w:r>
        <w:rPr>
          <w:sz w:val="24"/>
        </w:rPr>
        <w:t>the</w:t>
      </w:r>
      <w:r>
        <w:rPr>
          <w:spacing w:val="-4"/>
          <w:sz w:val="24"/>
        </w:rPr>
        <w:t> </w:t>
      </w:r>
      <w:r>
        <w:rPr>
          <w:sz w:val="24"/>
        </w:rPr>
        <w:t>teaching</w:t>
      </w:r>
      <w:r>
        <w:rPr>
          <w:spacing w:val="-5"/>
          <w:sz w:val="24"/>
        </w:rPr>
        <w:t> </w:t>
      </w:r>
      <w:r>
        <w:rPr>
          <w:sz w:val="24"/>
        </w:rPr>
        <w:t>mission</w:t>
      </w:r>
      <w:r>
        <w:rPr>
          <w:spacing w:val="-1"/>
          <w:sz w:val="24"/>
        </w:rPr>
        <w:t> </w:t>
      </w:r>
      <w:r>
        <w:rPr>
          <w:sz w:val="24"/>
        </w:rPr>
        <w:t>of</w:t>
      </w:r>
      <w:r>
        <w:rPr>
          <w:spacing w:val="-4"/>
          <w:sz w:val="24"/>
        </w:rPr>
        <w:t> </w:t>
      </w:r>
      <w:r>
        <w:rPr>
          <w:sz w:val="24"/>
        </w:rPr>
        <w:t>the Kelley School or the University</w:t>
      </w:r>
    </w:p>
    <w:p>
      <w:pPr>
        <w:pStyle w:val="ListParagraph"/>
        <w:numPr>
          <w:ilvl w:val="1"/>
          <w:numId w:val="2"/>
        </w:numPr>
        <w:tabs>
          <w:tab w:pos="1558" w:val="left" w:leader="none"/>
        </w:tabs>
        <w:spacing w:line="297" w:lineRule="exact" w:before="3" w:after="0"/>
        <w:ind w:left="1558" w:right="0" w:hanging="359"/>
        <w:jc w:val="left"/>
        <w:rPr>
          <w:rFonts w:ascii="Courier New" w:hAnsi="Courier New"/>
          <w:sz w:val="24"/>
        </w:rPr>
      </w:pPr>
      <w:r>
        <w:rPr>
          <w:sz w:val="24"/>
        </w:rPr>
        <w:t>The</w:t>
      </w:r>
      <w:r>
        <w:rPr>
          <w:spacing w:val="-3"/>
          <w:sz w:val="24"/>
        </w:rPr>
        <w:t> </w:t>
      </w:r>
      <w:r>
        <w:rPr>
          <w:sz w:val="24"/>
        </w:rPr>
        <w:t>candidate</w:t>
      </w:r>
      <w:r>
        <w:rPr>
          <w:spacing w:val="-3"/>
          <w:sz w:val="24"/>
        </w:rPr>
        <w:t> </w:t>
      </w:r>
      <w:r>
        <w:rPr>
          <w:sz w:val="24"/>
        </w:rPr>
        <w:t>contributes</w:t>
      </w:r>
      <w:r>
        <w:rPr>
          <w:spacing w:val="-2"/>
          <w:sz w:val="24"/>
        </w:rPr>
        <w:t> </w:t>
      </w:r>
      <w:r>
        <w:rPr>
          <w:sz w:val="24"/>
        </w:rPr>
        <w:t>to</w:t>
      </w:r>
      <w:r>
        <w:rPr>
          <w:spacing w:val="-3"/>
          <w:sz w:val="24"/>
        </w:rPr>
        <w:t> </w:t>
      </w:r>
      <w:r>
        <w:rPr>
          <w:sz w:val="24"/>
        </w:rPr>
        <w:t>the</w:t>
      </w:r>
      <w:r>
        <w:rPr>
          <w:spacing w:val="-1"/>
          <w:sz w:val="24"/>
        </w:rPr>
        <w:t> </w:t>
      </w:r>
      <w:r>
        <w:rPr>
          <w:sz w:val="24"/>
        </w:rPr>
        <w:t>School’s</w:t>
      </w:r>
      <w:r>
        <w:rPr>
          <w:spacing w:val="-2"/>
          <w:sz w:val="24"/>
        </w:rPr>
        <w:t> </w:t>
      </w:r>
      <w:r>
        <w:rPr>
          <w:sz w:val="24"/>
        </w:rPr>
        <w:t>service</w:t>
      </w:r>
      <w:r>
        <w:rPr>
          <w:spacing w:val="-1"/>
          <w:sz w:val="24"/>
        </w:rPr>
        <w:t> </w:t>
      </w:r>
      <w:r>
        <w:rPr>
          <w:sz w:val="24"/>
        </w:rPr>
        <w:t>mission,</w:t>
      </w:r>
      <w:r>
        <w:rPr>
          <w:spacing w:val="-4"/>
          <w:sz w:val="24"/>
        </w:rPr>
        <w:t> </w:t>
      </w:r>
      <w:r>
        <w:rPr>
          <w:sz w:val="24"/>
        </w:rPr>
        <w:t>values,</w:t>
      </w:r>
      <w:r>
        <w:rPr>
          <w:spacing w:val="-4"/>
          <w:sz w:val="24"/>
        </w:rPr>
        <w:t> </w:t>
      </w:r>
      <w:r>
        <w:rPr>
          <w:sz w:val="24"/>
        </w:rPr>
        <w:t>and</w:t>
      </w:r>
      <w:r>
        <w:rPr>
          <w:spacing w:val="1"/>
          <w:sz w:val="24"/>
        </w:rPr>
        <w:t> </w:t>
      </w:r>
      <w:r>
        <w:rPr>
          <w:spacing w:val="-2"/>
          <w:sz w:val="24"/>
        </w:rPr>
        <w:t>goals.</w:t>
      </w:r>
    </w:p>
    <w:p>
      <w:pPr>
        <w:pStyle w:val="ListParagraph"/>
        <w:numPr>
          <w:ilvl w:val="1"/>
          <w:numId w:val="2"/>
        </w:numPr>
        <w:tabs>
          <w:tab w:pos="1558" w:val="left" w:leader="none"/>
        </w:tabs>
        <w:spacing w:line="293" w:lineRule="exact" w:before="0" w:after="0"/>
        <w:ind w:left="1558" w:right="0" w:hanging="359"/>
        <w:jc w:val="left"/>
        <w:rPr>
          <w:rFonts w:ascii="Courier New" w:hAnsi="Courier New"/>
          <w:sz w:val="24"/>
        </w:rPr>
      </w:pPr>
      <w:r>
        <w:rPr>
          <w:sz w:val="24"/>
        </w:rPr>
        <w:t>Involvement</w:t>
      </w:r>
      <w:r>
        <w:rPr>
          <w:spacing w:val="-6"/>
          <w:sz w:val="24"/>
        </w:rPr>
        <w:t> </w:t>
      </w:r>
      <w:r>
        <w:rPr>
          <w:sz w:val="24"/>
        </w:rPr>
        <w:t>with</w:t>
      </w:r>
      <w:r>
        <w:rPr>
          <w:spacing w:val="-1"/>
          <w:sz w:val="24"/>
        </w:rPr>
        <w:t> </w:t>
      </w:r>
      <w:r>
        <w:rPr>
          <w:sz w:val="24"/>
        </w:rPr>
        <w:t>student</w:t>
      </w:r>
      <w:r>
        <w:rPr>
          <w:spacing w:val="-1"/>
          <w:sz w:val="24"/>
        </w:rPr>
        <w:t> </w:t>
      </w:r>
      <w:r>
        <w:rPr>
          <w:sz w:val="24"/>
        </w:rPr>
        <w:t>groups/clubs</w:t>
      </w:r>
      <w:r>
        <w:rPr>
          <w:spacing w:val="-3"/>
          <w:sz w:val="24"/>
        </w:rPr>
        <w:t> </w:t>
      </w:r>
      <w:r>
        <w:rPr>
          <w:sz w:val="24"/>
        </w:rPr>
        <w:t>in</w:t>
      </w:r>
      <w:r>
        <w:rPr>
          <w:spacing w:val="-1"/>
          <w:sz w:val="24"/>
        </w:rPr>
        <w:t> </w:t>
      </w:r>
      <w:r>
        <w:rPr>
          <w:sz w:val="24"/>
        </w:rPr>
        <w:t>support</w:t>
      </w:r>
      <w:r>
        <w:rPr>
          <w:spacing w:val="-4"/>
          <w:sz w:val="24"/>
        </w:rPr>
        <w:t> </w:t>
      </w:r>
      <w:r>
        <w:rPr>
          <w:sz w:val="24"/>
        </w:rPr>
        <w:t>of</w:t>
      </w:r>
      <w:r>
        <w:rPr>
          <w:spacing w:val="-4"/>
          <w:sz w:val="24"/>
        </w:rPr>
        <w:t> </w:t>
      </w:r>
      <w:r>
        <w:rPr>
          <w:sz w:val="24"/>
        </w:rPr>
        <w:t>student </w:t>
      </w:r>
      <w:r>
        <w:rPr>
          <w:spacing w:val="-2"/>
          <w:sz w:val="24"/>
        </w:rPr>
        <w:t>learning</w:t>
      </w:r>
    </w:p>
    <w:p>
      <w:pPr>
        <w:pStyle w:val="ListParagraph"/>
        <w:numPr>
          <w:ilvl w:val="1"/>
          <w:numId w:val="2"/>
        </w:numPr>
        <w:tabs>
          <w:tab w:pos="1559" w:val="left" w:leader="none"/>
        </w:tabs>
        <w:spacing w:line="232" w:lineRule="auto" w:before="3" w:after="0"/>
        <w:ind w:left="1559" w:right="243" w:hanging="360"/>
        <w:jc w:val="left"/>
        <w:rPr>
          <w:rFonts w:ascii="Courier New" w:hAnsi="Courier New"/>
          <w:sz w:val="24"/>
        </w:rPr>
      </w:pPr>
      <w:r>
        <w:rPr>
          <w:sz w:val="24"/>
        </w:rPr>
        <w:t>Support</w:t>
      </w:r>
      <w:r>
        <w:rPr>
          <w:spacing w:val="-4"/>
          <w:sz w:val="24"/>
        </w:rPr>
        <w:t> </w:t>
      </w:r>
      <w:r>
        <w:rPr>
          <w:sz w:val="24"/>
        </w:rPr>
        <w:t>for</w:t>
      </w:r>
      <w:r>
        <w:rPr>
          <w:spacing w:val="-2"/>
          <w:sz w:val="24"/>
        </w:rPr>
        <w:t> </w:t>
      </w:r>
      <w:r>
        <w:rPr>
          <w:sz w:val="24"/>
        </w:rPr>
        <w:t>student</w:t>
      </w:r>
      <w:r>
        <w:rPr>
          <w:spacing w:val="-4"/>
          <w:sz w:val="24"/>
        </w:rPr>
        <w:t> </w:t>
      </w:r>
      <w:r>
        <w:rPr>
          <w:sz w:val="24"/>
        </w:rPr>
        <w:t>case</w:t>
      </w:r>
      <w:r>
        <w:rPr>
          <w:spacing w:val="-4"/>
          <w:sz w:val="24"/>
        </w:rPr>
        <w:t> </w:t>
      </w:r>
      <w:r>
        <w:rPr>
          <w:sz w:val="24"/>
        </w:rPr>
        <w:t>competitions,</w:t>
      </w:r>
      <w:r>
        <w:rPr>
          <w:spacing w:val="-2"/>
          <w:sz w:val="24"/>
        </w:rPr>
        <w:t> </w:t>
      </w:r>
      <w:r>
        <w:rPr>
          <w:sz w:val="24"/>
        </w:rPr>
        <w:t>including</w:t>
      </w:r>
      <w:r>
        <w:rPr>
          <w:spacing w:val="-5"/>
          <w:sz w:val="24"/>
        </w:rPr>
        <w:t> </w:t>
      </w:r>
      <w:r>
        <w:rPr>
          <w:sz w:val="24"/>
        </w:rPr>
        <w:t>organizing</w:t>
      </w:r>
      <w:r>
        <w:rPr>
          <w:spacing w:val="-5"/>
          <w:sz w:val="24"/>
        </w:rPr>
        <w:t> </w:t>
      </w:r>
      <w:r>
        <w:rPr>
          <w:sz w:val="24"/>
        </w:rPr>
        <w:t>the</w:t>
      </w:r>
      <w:r>
        <w:rPr>
          <w:spacing w:val="-4"/>
          <w:sz w:val="24"/>
        </w:rPr>
        <w:t> </w:t>
      </w:r>
      <w:r>
        <w:rPr>
          <w:sz w:val="24"/>
        </w:rPr>
        <w:t>event,</w:t>
      </w:r>
      <w:r>
        <w:rPr>
          <w:spacing w:val="-5"/>
          <w:sz w:val="24"/>
        </w:rPr>
        <w:t> </w:t>
      </w:r>
      <w:r>
        <w:rPr>
          <w:sz w:val="24"/>
        </w:rPr>
        <w:t>mentoring the student teams, or judging the competition</w:t>
      </w:r>
    </w:p>
    <w:p>
      <w:pPr>
        <w:pStyle w:val="ListParagraph"/>
        <w:numPr>
          <w:ilvl w:val="1"/>
          <w:numId w:val="2"/>
        </w:numPr>
        <w:tabs>
          <w:tab w:pos="1558" w:val="left" w:leader="none"/>
        </w:tabs>
        <w:spacing w:line="297" w:lineRule="exact" w:before="3" w:after="0"/>
        <w:ind w:left="1558" w:right="0" w:hanging="359"/>
        <w:jc w:val="left"/>
        <w:rPr>
          <w:rFonts w:ascii="Courier New" w:hAnsi="Courier New"/>
          <w:sz w:val="24"/>
        </w:rPr>
      </w:pPr>
      <w:r>
        <w:rPr>
          <w:sz w:val="24"/>
        </w:rPr>
        <w:t>Administrative</w:t>
      </w:r>
      <w:r>
        <w:rPr>
          <w:spacing w:val="-4"/>
          <w:sz w:val="24"/>
        </w:rPr>
        <w:t> </w:t>
      </w:r>
      <w:r>
        <w:rPr>
          <w:sz w:val="24"/>
        </w:rPr>
        <w:t>service,</w:t>
      </w:r>
      <w:r>
        <w:rPr>
          <w:spacing w:val="-1"/>
          <w:sz w:val="24"/>
        </w:rPr>
        <w:t> </w:t>
      </w:r>
      <w:r>
        <w:rPr>
          <w:sz w:val="24"/>
        </w:rPr>
        <w:t>if</w:t>
      </w:r>
      <w:r>
        <w:rPr>
          <w:spacing w:val="-4"/>
          <w:sz w:val="24"/>
        </w:rPr>
        <w:t> </w:t>
      </w:r>
      <w:r>
        <w:rPr>
          <w:sz w:val="24"/>
        </w:rPr>
        <w:t>such an</w:t>
      </w:r>
      <w:r>
        <w:rPr>
          <w:spacing w:val="-1"/>
          <w:sz w:val="24"/>
        </w:rPr>
        <w:t> </w:t>
      </w:r>
      <w:r>
        <w:rPr>
          <w:sz w:val="24"/>
        </w:rPr>
        <w:t>opportunity</w:t>
      </w:r>
      <w:r>
        <w:rPr>
          <w:spacing w:val="-2"/>
          <w:sz w:val="24"/>
        </w:rPr>
        <w:t> </w:t>
      </w:r>
      <w:r>
        <w:rPr>
          <w:spacing w:val="-4"/>
          <w:sz w:val="24"/>
        </w:rPr>
        <w:t>arose</w:t>
      </w:r>
    </w:p>
    <w:p>
      <w:pPr>
        <w:pStyle w:val="ListParagraph"/>
        <w:numPr>
          <w:ilvl w:val="1"/>
          <w:numId w:val="2"/>
        </w:numPr>
        <w:tabs>
          <w:tab w:pos="1559" w:val="left" w:leader="none"/>
        </w:tabs>
        <w:spacing w:line="237" w:lineRule="auto" w:before="0" w:after="0"/>
        <w:ind w:left="1559" w:right="270" w:hanging="360"/>
        <w:jc w:val="left"/>
        <w:rPr>
          <w:rFonts w:ascii="Courier New" w:hAnsi="Courier New"/>
          <w:sz w:val="24"/>
        </w:rPr>
      </w:pPr>
      <w:r>
        <w:rPr>
          <w:sz w:val="24"/>
        </w:rPr>
        <w:t>Engagement in School/University activities and events, including activities designed</w:t>
      </w:r>
      <w:r>
        <w:rPr>
          <w:spacing w:val="-5"/>
          <w:sz w:val="24"/>
        </w:rPr>
        <w:t> </w:t>
      </w:r>
      <w:r>
        <w:rPr>
          <w:sz w:val="24"/>
        </w:rPr>
        <w:t>to</w:t>
      </w:r>
      <w:r>
        <w:rPr>
          <w:spacing w:val="-3"/>
          <w:sz w:val="24"/>
        </w:rPr>
        <w:t> </w:t>
      </w:r>
      <w:r>
        <w:rPr>
          <w:sz w:val="24"/>
        </w:rPr>
        <w:t>attract</w:t>
      </w:r>
      <w:r>
        <w:rPr>
          <w:spacing w:val="-2"/>
          <w:sz w:val="24"/>
        </w:rPr>
        <w:t> </w:t>
      </w:r>
      <w:r>
        <w:rPr>
          <w:sz w:val="24"/>
        </w:rPr>
        <w:t>students</w:t>
      </w:r>
      <w:r>
        <w:rPr>
          <w:spacing w:val="-6"/>
          <w:sz w:val="24"/>
        </w:rPr>
        <w:t> </w:t>
      </w:r>
      <w:r>
        <w:rPr>
          <w:sz w:val="24"/>
        </w:rPr>
        <w:t>to</w:t>
      </w:r>
      <w:r>
        <w:rPr>
          <w:spacing w:val="-5"/>
          <w:sz w:val="24"/>
        </w:rPr>
        <w:t> </w:t>
      </w:r>
      <w:r>
        <w:rPr>
          <w:sz w:val="24"/>
        </w:rPr>
        <w:t>the</w:t>
      </w:r>
      <w:r>
        <w:rPr>
          <w:spacing w:val="-3"/>
          <w:sz w:val="24"/>
        </w:rPr>
        <w:t> </w:t>
      </w:r>
      <w:r>
        <w:rPr>
          <w:sz w:val="24"/>
        </w:rPr>
        <w:t>Kelley</w:t>
      </w:r>
      <w:r>
        <w:rPr>
          <w:spacing w:val="-4"/>
          <w:sz w:val="24"/>
        </w:rPr>
        <w:t> </w:t>
      </w:r>
      <w:r>
        <w:rPr>
          <w:sz w:val="24"/>
        </w:rPr>
        <w:t>School</w:t>
      </w:r>
      <w:r>
        <w:rPr>
          <w:spacing w:val="-3"/>
          <w:sz w:val="24"/>
        </w:rPr>
        <w:t> </w:t>
      </w:r>
      <w:r>
        <w:rPr>
          <w:sz w:val="24"/>
        </w:rPr>
        <w:t>and</w:t>
      </w:r>
      <w:r>
        <w:rPr>
          <w:spacing w:val="-2"/>
          <w:sz w:val="24"/>
        </w:rPr>
        <w:t> </w:t>
      </w:r>
      <w:r>
        <w:rPr>
          <w:sz w:val="24"/>
        </w:rPr>
        <w:t>recognize</w:t>
      </w:r>
      <w:r>
        <w:rPr>
          <w:spacing w:val="-3"/>
          <w:sz w:val="24"/>
        </w:rPr>
        <w:t> </w:t>
      </w:r>
      <w:r>
        <w:rPr>
          <w:sz w:val="24"/>
        </w:rPr>
        <w:t>accomplishments of Kelley students</w:t>
      </w:r>
    </w:p>
    <w:p>
      <w:pPr>
        <w:pStyle w:val="ListParagraph"/>
        <w:numPr>
          <w:ilvl w:val="1"/>
          <w:numId w:val="2"/>
        </w:numPr>
        <w:tabs>
          <w:tab w:pos="1560" w:val="left" w:leader="none"/>
        </w:tabs>
        <w:spacing w:line="247" w:lineRule="auto" w:before="16" w:after="0"/>
        <w:ind w:left="1560" w:right="750" w:hanging="360"/>
        <w:jc w:val="left"/>
        <w:rPr>
          <w:rFonts w:ascii="Courier New" w:hAnsi="Courier New"/>
          <w:sz w:val="24"/>
        </w:rPr>
      </w:pPr>
      <w:r>
        <w:rPr>
          <w:sz w:val="24"/>
        </w:rPr>
        <w:t>Collegiality reflects the importance of working rapport among the Kelley community</w:t>
      </w:r>
      <w:r>
        <w:rPr>
          <w:spacing w:val="-3"/>
          <w:sz w:val="24"/>
        </w:rPr>
        <w:t> </w:t>
      </w:r>
      <w:r>
        <w:rPr>
          <w:sz w:val="24"/>
        </w:rPr>
        <w:t>needed</w:t>
      </w:r>
      <w:r>
        <w:rPr>
          <w:spacing w:val="-4"/>
          <w:sz w:val="24"/>
        </w:rPr>
        <w:t> </w:t>
      </w:r>
      <w:r>
        <w:rPr>
          <w:sz w:val="24"/>
        </w:rPr>
        <w:t>for</w:t>
      </w:r>
      <w:r>
        <w:rPr>
          <w:spacing w:val="-5"/>
          <w:sz w:val="24"/>
        </w:rPr>
        <w:t> </w:t>
      </w:r>
      <w:r>
        <w:rPr>
          <w:sz w:val="24"/>
        </w:rPr>
        <w:t>the</w:t>
      </w:r>
      <w:r>
        <w:rPr>
          <w:spacing w:val="-2"/>
          <w:sz w:val="24"/>
        </w:rPr>
        <w:t> </w:t>
      </w:r>
      <w:r>
        <w:rPr>
          <w:sz w:val="24"/>
        </w:rPr>
        <w:t>long-run</w:t>
      </w:r>
      <w:r>
        <w:rPr>
          <w:spacing w:val="-4"/>
          <w:sz w:val="24"/>
        </w:rPr>
        <w:t> </w:t>
      </w:r>
      <w:r>
        <w:rPr>
          <w:sz w:val="24"/>
        </w:rPr>
        <w:t>effectiveness</w:t>
      </w:r>
      <w:r>
        <w:rPr>
          <w:spacing w:val="-3"/>
          <w:sz w:val="24"/>
        </w:rPr>
        <w:t> </w:t>
      </w:r>
      <w:r>
        <w:rPr>
          <w:sz w:val="24"/>
        </w:rPr>
        <w:t>of</w:t>
      </w:r>
      <w:r>
        <w:rPr>
          <w:spacing w:val="-4"/>
          <w:sz w:val="24"/>
        </w:rPr>
        <w:t> </w:t>
      </w:r>
      <w:r>
        <w:rPr>
          <w:sz w:val="24"/>
        </w:rPr>
        <w:t>the</w:t>
      </w:r>
      <w:r>
        <w:rPr>
          <w:spacing w:val="-2"/>
          <w:sz w:val="24"/>
        </w:rPr>
        <w:t> </w:t>
      </w:r>
      <w:r>
        <w:rPr>
          <w:sz w:val="24"/>
        </w:rPr>
        <w:t>Kelley</w:t>
      </w:r>
      <w:r>
        <w:rPr>
          <w:spacing w:val="-3"/>
          <w:sz w:val="24"/>
        </w:rPr>
        <w:t> </w:t>
      </w:r>
      <w:r>
        <w:rPr>
          <w:sz w:val="24"/>
        </w:rPr>
        <w:t>School</w:t>
      </w:r>
      <w:r>
        <w:rPr>
          <w:spacing w:val="-2"/>
          <w:sz w:val="24"/>
        </w:rPr>
        <w:t> </w:t>
      </w:r>
      <w:r>
        <w:rPr>
          <w:sz w:val="24"/>
        </w:rPr>
        <w:t>in</w:t>
      </w:r>
      <w:r>
        <w:rPr>
          <w:spacing w:val="-4"/>
          <w:sz w:val="24"/>
        </w:rPr>
        <w:t> </w:t>
      </w:r>
      <w:r>
        <w:rPr>
          <w:sz w:val="24"/>
        </w:rPr>
        <w:t>the research, teaching, and service elements of its mission.</w:t>
      </w:r>
    </w:p>
    <w:p>
      <w:pPr>
        <w:spacing w:after="0" w:line="247" w:lineRule="auto"/>
        <w:jc w:val="left"/>
        <w:rPr>
          <w:rFonts w:ascii="Courier New" w:hAnsi="Courier New"/>
          <w:sz w:val="24"/>
        </w:rPr>
        <w:sectPr>
          <w:pgSz w:w="12240" w:h="15840"/>
          <w:pgMar w:header="0" w:footer="1712" w:top="1380" w:bottom="1940" w:left="1320" w:right="1180"/>
        </w:sectPr>
      </w:pPr>
    </w:p>
    <w:p>
      <w:pPr>
        <w:pStyle w:val="ListParagraph"/>
        <w:numPr>
          <w:ilvl w:val="0"/>
          <w:numId w:val="2"/>
        </w:numPr>
        <w:tabs>
          <w:tab w:pos="839" w:val="left" w:leader="none"/>
        </w:tabs>
        <w:spacing w:line="240" w:lineRule="auto" w:before="78" w:after="0"/>
        <w:ind w:left="839" w:right="0" w:hanging="359"/>
        <w:jc w:val="left"/>
        <w:rPr>
          <w:sz w:val="24"/>
        </w:rPr>
      </w:pPr>
      <w:r>
        <w:rPr>
          <w:sz w:val="24"/>
        </w:rPr>
        <w:t>Community</w:t>
      </w:r>
      <w:r>
        <w:rPr>
          <w:spacing w:val="-2"/>
          <w:sz w:val="24"/>
        </w:rPr>
        <w:t> </w:t>
      </w:r>
      <w:r>
        <w:rPr>
          <w:sz w:val="24"/>
        </w:rPr>
        <w:t>or</w:t>
      </w:r>
      <w:r>
        <w:rPr>
          <w:spacing w:val="-4"/>
          <w:sz w:val="24"/>
        </w:rPr>
        <w:t> </w:t>
      </w:r>
      <w:r>
        <w:rPr>
          <w:sz w:val="24"/>
        </w:rPr>
        <w:t>profession </w:t>
      </w:r>
      <w:r>
        <w:rPr>
          <w:spacing w:val="-2"/>
          <w:sz w:val="24"/>
        </w:rPr>
        <w:t>service</w:t>
      </w:r>
    </w:p>
    <w:p>
      <w:pPr>
        <w:pStyle w:val="ListParagraph"/>
        <w:numPr>
          <w:ilvl w:val="1"/>
          <w:numId w:val="2"/>
        </w:numPr>
        <w:tabs>
          <w:tab w:pos="1560" w:val="left" w:leader="none"/>
        </w:tabs>
        <w:spacing w:line="237" w:lineRule="auto" w:before="2" w:after="0"/>
        <w:ind w:left="1560" w:right="349" w:hanging="360"/>
        <w:jc w:val="left"/>
        <w:rPr>
          <w:rFonts w:ascii="Courier New" w:hAnsi="Courier New"/>
          <w:sz w:val="24"/>
        </w:rPr>
      </w:pPr>
      <w:r>
        <w:rPr>
          <w:sz w:val="24"/>
        </w:rPr>
        <w:t>Engagement in professional service such as leadership roles in academic organizations,</w:t>
      </w:r>
      <w:r>
        <w:rPr>
          <w:spacing w:val="-3"/>
          <w:sz w:val="24"/>
        </w:rPr>
        <w:t> </w:t>
      </w:r>
      <w:r>
        <w:rPr>
          <w:sz w:val="24"/>
        </w:rPr>
        <w:t>reviewing,</w:t>
      </w:r>
      <w:r>
        <w:rPr>
          <w:spacing w:val="-6"/>
          <w:sz w:val="24"/>
        </w:rPr>
        <w:t> </w:t>
      </w:r>
      <w:r>
        <w:rPr>
          <w:sz w:val="24"/>
        </w:rPr>
        <w:t>conference</w:t>
      </w:r>
      <w:r>
        <w:rPr>
          <w:spacing w:val="-5"/>
          <w:sz w:val="24"/>
        </w:rPr>
        <w:t> </w:t>
      </w:r>
      <w:r>
        <w:rPr>
          <w:sz w:val="24"/>
        </w:rPr>
        <w:t>planning</w:t>
      </w:r>
      <w:r>
        <w:rPr>
          <w:spacing w:val="-6"/>
          <w:sz w:val="24"/>
        </w:rPr>
        <w:t> </w:t>
      </w:r>
      <w:r>
        <w:rPr>
          <w:sz w:val="24"/>
        </w:rPr>
        <w:t>teams</w:t>
      </w:r>
      <w:r>
        <w:rPr>
          <w:spacing w:val="-4"/>
          <w:sz w:val="24"/>
        </w:rPr>
        <w:t> </w:t>
      </w:r>
      <w:r>
        <w:rPr>
          <w:sz w:val="24"/>
        </w:rPr>
        <w:t>/</w:t>
      </w:r>
      <w:r>
        <w:rPr>
          <w:spacing w:val="-5"/>
          <w:sz w:val="24"/>
        </w:rPr>
        <w:t> </w:t>
      </w:r>
      <w:r>
        <w:rPr>
          <w:sz w:val="24"/>
        </w:rPr>
        <w:t>track</w:t>
      </w:r>
      <w:r>
        <w:rPr>
          <w:spacing w:val="-5"/>
          <w:sz w:val="24"/>
        </w:rPr>
        <w:t> </w:t>
      </w:r>
      <w:r>
        <w:rPr>
          <w:sz w:val="24"/>
        </w:rPr>
        <w:t>chairs</w:t>
      </w:r>
      <w:r>
        <w:rPr>
          <w:spacing w:val="-6"/>
          <w:sz w:val="24"/>
        </w:rPr>
        <w:t> </w:t>
      </w:r>
      <w:r>
        <w:rPr>
          <w:sz w:val="24"/>
        </w:rPr>
        <w:t>/</w:t>
      </w:r>
      <w:r>
        <w:rPr>
          <w:spacing w:val="-3"/>
          <w:sz w:val="24"/>
        </w:rPr>
        <w:t> </w:t>
      </w:r>
      <w:r>
        <w:rPr>
          <w:sz w:val="24"/>
        </w:rPr>
        <w:t>discussants, </w:t>
      </w:r>
      <w:r>
        <w:rPr>
          <w:spacing w:val="-4"/>
          <w:sz w:val="24"/>
        </w:rPr>
        <w:t>etc.</w:t>
      </w:r>
    </w:p>
    <w:p>
      <w:pPr>
        <w:pStyle w:val="ListParagraph"/>
        <w:numPr>
          <w:ilvl w:val="1"/>
          <w:numId w:val="2"/>
        </w:numPr>
        <w:tabs>
          <w:tab w:pos="1560" w:val="left" w:leader="none"/>
        </w:tabs>
        <w:spacing w:line="232" w:lineRule="auto" w:before="8" w:after="0"/>
        <w:ind w:left="1560" w:right="910" w:hanging="360"/>
        <w:jc w:val="left"/>
        <w:rPr>
          <w:rFonts w:ascii="Courier New" w:hAnsi="Courier New"/>
          <w:sz w:val="24"/>
        </w:rPr>
      </w:pPr>
      <w:r>
        <w:rPr>
          <w:sz w:val="24"/>
        </w:rPr>
        <w:t>Engagement</w:t>
      </w:r>
      <w:r>
        <w:rPr>
          <w:spacing w:val="-4"/>
          <w:sz w:val="24"/>
        </w:rPr>
        <w:t> </w:t>
      </w:r>
      <w:r>
        <w:rPr>
          <w:sz w:val="24"/>
        </w:rPr>
        <w:t>in</w:t>
      </w:r>
      <w:r>
        <w:rPr>
          <w:spacing w:val="-1"/>
          <w:sz w:val="24"/>
        </w:rPr>
        <w:t> </w:t>
      </w:r>
      <w:r>
        <w:rPr>
          <w:sz w:val="24"/>
        </w:rPr>
        <w:t>service</w:t>
      </w:r>
      <w:r>
        <w:rPr>
          <w:spacing w:val="-2"/>
          <w:sz w:val="24"/>
        </w:rPr>
        <w:t> </w:t>
      </w:r>
      <w:r>
        <w:rPr>
          <w:sz w:val="24"/>
        </w:rPr>
        <w:t>to</w:t>
      </w:r>
      <w:r>
        <w:rPr>
          <w:spacing w:val="-4"/>
          <w:sz w:val="24"/>
        </w:rPr>
        <w:t> </w:t>
      </w:r>
      <w:r>
        <w:rPr>
          <w:sz w:val="24"/>
        </w:rPr>
        <w:t>the</w:t>
      </w:r>
      <w:r>
        <w:rPr>
          <w:spacing w:val="-2"/>
          <w:sz w:val="24"/>
        </w:rPr>
        <w:t> </w:t>
      </w:r>
      <w:r>
        <w:rPr>
          <w:sz w:val="24"/>
        </w:rPr>
        <w:t>community</w:t>
      </w:r>
      <w:r>
        <w:rPr>
          <w:spacing w:val="-3"/>
          <w:sz w:val="24"/>
        </w:rPr>
        <w:t> </w:t>
      </w:r>
      <w:r>
        <w:rPr>
          <w:sz w:val="24"/>
        </w:rPr>
        <w:t>in</w:t>
      </w:r>
      <w:r>
        <w:rPr>
          <w:spacing w:val="-4"/>
          <w:sz w:val="24"/>
        </w:rPr>
        <w:t> </w:t>
      </w:r>
      <w:r>
        <w:rPr>
          <w:sz w:val="24"/>
        </w:rPr>
        <w:t>ways</w:t>
      </w:r>
      <w:r>
        <w:rPr>
          <w:spacing w:val="-5"/>
          <w:sz w:val="24"/>
        </w:rPr>
        <w:t> </w:t>
      </w:r>
      <w:r>
        <w:rPr>
          <w:sz w:val="24"/>
        </w:rPr>
        <w:t>that</w:t>
      </w:r>
      <w:r>
        <w:rPr>
          <w:spacing w:val="-1"/>
          <w:sz w:val="24"/>
        </w:rPr>
        <w:t> </w:t>
      </w:r>
      <w:r>
        <w:rPr>
          <w:sz w:val="24"/>
        </w:rPr>
        <w:t>call</w:t>
      </w:r>
      <w:r>
        <w:rPr>
          <w:spacing w:val="-5"/>
          <w:sz w:val="24"/>
        </w:rPr>
        <w:t> </w:t>
      </w:r>
      <w:r>
        <w:rPr>
          <w:sz w:val="24"/>
        </w:rPr>
        <w:t>upon</w:t>
      </w:r>
      <w:r>
        <w:rPr>
          <w:spacing w:val="-4"/>
          <w:sz w:val="24"/>
        </w:rPr>
        <w:t> </w:t>
      </w:r>
      <w:r>
        <w:rPr>
          <w:sz w:val="24"/>
        </w:rPr>
        <w:t>the</w:t>
      </w:r>
      <w:r>
        <w:rPr>
          <w:spacing w:val="-4"/>
          <w:sz w:val="24"/>
        </w:rPr>
        <w:t> </w:t>
      </w:r>
      <w:r>
        <w:rPr>
          <w:sz w:val="24"/>
        </w:rPr>
        <w:t>faculty member’s professional expertise and teaching skills</w:t>
      </w:r>
    </w:p>
    <w:p>
      <w:pPr>
        <w:pStyle w:val="ListParagraph"/>
        <w:numPr>
          <w:ilvl w:val="0"/>
          <w:numId w:val="2"/>
        </w:numPr>
        <w:tabs>
          <w:tab w:pos="839" w:val="left" w:leader="none"/>
        </w:tabs>
        <w:spacing w:line="240" w:lineRule="auto" w:before="2" w:after="0"/>
        <w:ind w:left="839" w:right="0" w:hanging="359"/>
        <w:jc w:val="left"/>
        <w:rPr>
          <w:sz w:val="24"/>
        </w:rPr>
      </w:pPr>
      <w:r>
        <w:rPr>
          <w:spacing w:val="-2"/>
          <w:sz w:val="24"/>
        </w:rPr>
        <w:t>Dissemination</w:t>
      </w:r>
    </w:p>
    <w:p>
      <w:pPr>
        <w:pStyle w:val="ListParagraph"/>
        <w:numPr>
          <w:ilvl w:val="1"/>
          <w:numId w:val="2"/>
        </w:numPr>
        <w:tabs>
          <w:tab w:pos="1559" w:val="left" w:leader="none"/>
        </w:tabs>
        <w:spacing w:line="240" w:lineRule="auto" w:before="0" w:after="0"/>
        <w:ind w:left="1559" w:right="0" w:hanging="359"/>
        <w:jc w:val="left"/>
        <w:rPr>
          <w:rFonts w:ascii="Courier New" w:hAnsi="Courier New"/>
          <w:sz w:val="24"/>
        </w:rPr>
      </w:pPr>
      <w:r>
        <w:rPr>
          <w:sz w:val="24"/>
        </w:rPr>
        <w:t>Grants</w:t>
      </w:r>
      <w:r>
        <w:rPr>
          <w:spacing w:val="-4"/>
          <w:sz w:val="24"/>
        </w:rPr>
        <w:t> </w:t>
      </w:r>
      <w:r>
        <w:rPr>
          <w:sz w:val="24"/>
        </w:rPr>
        <w:t>to</w:t>
      </w:r>
      <w:r>
        <w:rPr>
          <w:spacing w:val="-2"/>
          <w:sz w:val="24"/>
        </w:rPr>
        <w:t> </w:t>
      </w:r>
      <w:r>
        <w:rPr>
          <w:sz w:val="24"/>
        </w:rPr>
        <w:t>develop</w:t>
      </w:r>
      <w:r>
        <w:rPr>
          <w:spacing w:val="-2"/>
          <w:sz w:val="24"/>
        </w:rPr>
        <w:t> </w:t>
      </w:r>
      <w:r>
        <w:rPr>
          <w:sz w:val="24"/>
        </w:rPr>
        <w:t>new</w:t>
      </w:r>
      <w:r>
        <w:rPr>
          <w:spacing w:val="-2"/>
          <w:sz w:val="24"/>
        </w:rPr>
        <w:t> </w:t>
      </w:r>
      <w:r>
        <w:rPr>
          <w:sz w:val="24"/>
        </w:rPr>
        <w:t>programs</w:t>
      </w:r>
      <w:r>
        <w:rPr>
          <w:spacing w:val="-2"/>
          <w:sz w:val="24"/>
        </w:rPr>
        <w:t> </w:t>
      </w:r>
      <w:r>
        <w:rPr>
          <w:sz w:val="24"/>
        </w:rPr>
        <w:t>or</w:t>
      </w:r>
      <w:r>
        <w:rPr>
          <w:spacing w:val="-3"/>
          <w:sz w:val="24"/>
        </w:rPr>
        <w:t> </w:t>
      </w:r>
      <w:r>
        <w:rPr>
          <w:sz w:val="24"/>
        </w:rPr>
        <w:t>revise</w:t>
      </w:r>
      <w:r>
        <w:rPr>
          <w:spacing w:val="-2"/>
          <w:sz w:val="24"/>
        </w:rPr>
        <w:t> </w:t>
      </w:r>
      <w:r>
        <w:rPr>
          <w:sz w:val="24"/>
        </w:rPr>
        <w:t>existing</w:t>
      </w:r>
      <w:r>
        <w:rPr>
          <w:spacing w:val="-1"/>
          <w:sz w:val="24"/>
        </w:rPr>
        <w:t> </w:t>
      </w:r>
      <w:r>
        <w:rPr>
          <w:spacing w:val="-4"/>
          <w:sz w:val="24"/>
        </w:rPr>
        <w:t>ones</w:t>
      </w:r>
    </w:p>
    <w:p>
      <w:pPr>
        <w:pStyle w:val="ListParagraph"/>
        <w:numPr>
          <w:ilvl w:val="1"/>
          <w:numId w:val="2"/>
        </w:numPr>
        <w:tabs>
          <w:tab w:pos="1559" w:val="left" w:leader="none"/>
        </w:tabs>
        <w:spacing w:line="294" w:lineRule="exact" w:before="9" w:after="0"/>
        <w:ind w:left="1559" w:right="0" w:hanging="359"/>
        <w:jc w:val="left"/>
        <w:rPr>
          <w:rFonts w:ascii="Courier New" w:hAnsi="Courier New"/>
          <w:sz w:val="24"/>
        </w:rPr>
      </w:pPr>
      <w:r>
        <w:rPr>
          <w:sz w:val="24"/>
        </w:rPr>
        <w:t>Publication</w:t>
      </w:r>
      <w:r>
        <w:rPr>
          <w:spacing w:val="-14"/>
          <w:sz w:val="24"/>
        </w:rPr>
        <w:t> </w:t>
      </w:r>
      <w:r>
        <w:rPr>
          <w:sz w:val="24"/>
        </w:rPr>
        <w:t>of</w:t>
      </w:r>
      <w:r>
        <w:rPr>
          <w:spacing w:val="-6"/>
          <w:sz w:val="24"/>
        </w:rPr>
        <w:t> </w:t>
      </w:r>
      <w:r>
        <w:rPr>
          <w:sz w:val="24"/>
        </w:rPr>
        <w:t>journal</w:t>
      </w:r>
      <w:r>
        <w:rPr>
          <w:spacing w:val="-12"/>
          <w:sz w:val="24"/>
        </w:rPr>
        <w:t> </w:t>
      </w:r>
      <w:r>
        <w:rPr>
          <w:sz w:val="24"/>
        </w:rPr>
        <w:t>articles/cases</w:t>
      </w:r>
      <w:r>
        <w:rPr>
          <w:spacing w:val="-13"/>
          <w:sz w:val="24"/>
        </w:rPr>
        <w:t> </w:t>
      </w:r>
      <w:r>
        <w:rPr>
          <w:sz w:val="24"/>
        </w:rPr>
        <w:t>devoted</w:t>
      </w:r>
      <w:r>
        <w:rPr>
          <w:spacing w:val="-13"/>
          <w:sz w:val="24"/>
        </w:rPr>
        <w:t> </w:t>
      </w:r>
      <w:r>
        <w:rPr>
          <w:sz w:val="24"/>
        </w:rPr>
        <w:t>to</w:t>
      </w:r>
      <w:r>
        <w:rPr>
          <w:spacing w:val="-11"/>
          <w:sz w:val="24"/>
        </w:rPr>
        <w:t> </w:t>
      </w:r>
      <w:r>
        <w:rPr>
          <w:spacing w:val="-2"/>
          <w:sz w:val="24"/>
        </w:rPr>
        <w:t>service</w:t>
      </w:r>
    </w:p>
    <w:p>
      <w:pPr>
        <w:pStyle w:val="ListParagraph"/>
        <w:numPr>
          <w:ilvl w:val="1"/>
          <w:numId w:val="2"/>
        </w:numPr>
        <w:tabs>
          <w:tab w:pos="1558" w:val="left" w:leader="none"/>
        </w:tabs>
        <w:spacing w:line="290" w:lineRule="exact" w:before="0" w:after="0"/>
        <w:ind w:left="1558" w:right="0" w:hanging="359"/>
        <w:jc w:val="left"/>
        <w:rPr>
          <w:rFonts w:ascii="Courier New" w:hAnsi="Courier New"/>
          <w:sz w:val="24"/>
        </w:rPr>
      </w:pPr>
      <w:r>
        <w:rPr>
          <w:sz w:val="24"/>
        </w:rPr>
        <w:t>Presentations</w:t>
      </w:r>
      <w:r>
        <w:rPr>
          <w:spacing w:val="-7"/>
          <w:sz w:val="24"/>
        </w:rPr>
        <w:t> </w:t>
      </w:r>
      <w:r>
        <w:rPr>
          <w:sz w:val="24"/>
        </w:rPr>
        <w:t>at local</w:t>
      </w:r>
      <w:r>
        <w:rPr>
          <w:spacing w:val="-1"/>
          <w:sz w:val="24"/>
        </w:rPr>
        <w:t> </w:t>
      </w:r>
      <w:r>
        <w:rPr>
          <w:sz w:val="24"/>
        </w:rPr>
        <w:t>or</w:t>
      </w:r>
      <w:r>
        <w:rPr>
          <w:spacing w:val="-6"/>
          <w:sz w:val="24"/>
        </w:rPr>
        <w:t> </w:t>
      </w:r>
      <w:r>
        <w:rPr>
          <w:sz w:val="24"/>
        </w:rPr>
        <w:t>national</w:t>
      </w:r>
      <w:r>
        <w:rPr>
          <w:spacing w:val="-1"/>
          <w:sz w:val="24"/>
        </w:rPr>
        <w:t> </w:t>
      </w:r>
      <w:r>
        <w:rPr>
          <w:sz w:val="24"/>
        </w:rPr>
        <w:t>conferences</w:t>
      </w:r>
      <w:r>
        <w:rPr>
          <w:spacing w:val="-4"/>
          <w:sz w:val="24"/>
        </w:rPr>
        <w:t> </w:t>
      </w:r>
      <w:r>
        <w:rPr>
          <w:sz w:val="24"/>
        </w:rPr>
        <w:t>about</w:t>
      </w:r>
      <w:r>
        <w:rPr>
          <w:spacing w:val="-3"/>
          <w:sz w:val="24"/>
        </w:rPr>
        <w:t> </w:t>
      </w:r>
      <w:r>
        <w:rPr>
          <w:sz w:val="24"/>
        </w:rPr>
        <w:t>service-related</w:t>
      </w:r>
      <w:r>
        <w:rPr>
          <w:spacing w:val="-1"/>
          <w:sz w:val="24"/>
        </w:rPr>
        <w:t> </w:t>
      </w:r>
      <w:r>
        <w:rPr>
          <w:spacing w:val="-2"/>
          <w:sz w:val="24"/>
        </w:rPr>
        <w:t>activities</w:t>
      </w:r>
    </w:p>
    <w:p>
      <w:pPr>
        <w:pStyle w:val="ListParagraph"/>
        <w:numPr>
          <w:ilvl w:val="1"/>
          <w:numId w:val="2"/>
        </w:numPr>
        <w:tabs>
          <w:tab w:pos="1559" w:val="left" w:leader="none"/>
        </w:tabs>
        <w:spacing w:line="291" w:lineRule="exact" w:before="0" w:after="0"/>
        <w:ind w:left="1559" w:right="0" w:hanging="359"/>
        <w:jc w:val="left"/>
        <w:rPr>
          <w:rFonts w:ascii="Courier New" w:hAnsi="Courier New"/>
          <w:sz w:val="22"/>
        </w:rPr>
      </w:pPr>
      <w:r>
        <w:rPr>
          <w:sz w:val="24"/>
        </w:rPr>
        <w:t>Contributions</w:t>
      </w:r>
      <w:r>
        <w:rPr>
          <w:spacing w:val="-4"/>
          <w:sz w:val="24"/>
        </w:rPr>
        <w:t> </w:t>
      </w:r>
      <w:r>
        <w:rPr>
          <w:sz w:val="24"/>
        </w:rPr>
        <w:t>to</w:t>
      </w:r>
      <w:r>
        <w:rPr>
          <w:spacing w:val="-2"/>
          <w:sz w:val="24"/>
        </w:rPr>
        <w:t> </w:t>
      </w:r>
      <w:r>
        <w:rPr>
          <w:sz w:val="24"/>
        </w:rPr>
        <w:t>local and</w:t>
      </w:r>
      <w:r>
        <w:rPr>
          <w:spacing w:val="1"/>
          <w:sz w:val="24"/>
        </w:rPr>
        <w:t> </w:t>
      </w:r>
      <w:r>
        <w:rPr>
          <w:sz w:val="24"/>
        </w:rPr>
        <w:t>national</w:t>
      </w:r>
      <w:r>
        <w:rPr>
          <w:spacing w:val="-3"/>
          <w:sz w:val="24"/>
        </w:rPr>
        <w:t> </w:t>
      </w:r>
      <w:r>
        <w:rPr>
          <w:sz w:val="24"/>
        </w:rPr>
        <w:t>news</w:t>
      </w:r>
      <w:r>
        <w:rPr>
          <w:spacing w:val="-3"/>
          <w:sz w:val="24"/>
        </w:rPr>
        <w:t> </w:t>
      </w:r>
      <w:r>
        <w:rPr>
          <w:sz w:val="24"/>
        </w:rPr>
        <w:t>media </w:t>
      </w:r>
      <w:r>
        <w:rPr>
          <w:spacing w:val="-2"/>
          <w:sz w:val="24"/>
        </w:rPr>
        <w:t>outlets.</w:t>
      </w:r>
    </w:p>
    <w:p>
      <w:pPr>
        <w:pStyle w:val="ListParagraph"/>
        <w:numPr>
          <w:ilvl w:val="0"/>
          <w:numId w:val="2"/>
        </w:numPr>
        <w:tabs>
          <w:tab w:pos="839" w:val="left" w:leader="none"/>
        </w:tabs>
        <w:spacing w:line="240" w:lineRule="auto" w:before="2" w:after="0"/>
        <w:ind w:left="839" w:right="0" w:hanging="359"/>
        <w:jc w:val="left"/>
        <w:rPr>
          <w:sz w:val="24"/>
        </w:rPr>
      </w:pPr>
      <w:r>
        <w:rPr>
          <w:sz w:val="24"/>
        </w:rPr>
        <w:t>Recognition</w:t>
      </w:r>
      <w:r>
        <w:rPr>
          <w:spacing w:val="-16"/>
          <w:sz w:val="24"/>
        </w:rPr>
        <w:t> </w:t>
      </w:r>
      <w:r>
        <w:rPr>
          <w:sz w:val="24"/>
        </w:rPr>
        <w:t>received</w:t>
      </w:r>
      <w:r>
        <w:rPr>
          <w:spacing w:val="-14"/>
          <w:sz w:val="24"/>
        </w:rPr>
        <w:t> </w:t>
      </w:r>
      <w:r>
        <w:rPr>
          <w:sz w:val="24"/>
        </w:rPr>
        <w:t>for</w:t>
      </w:r>
      <w:r>
        <w:rPr>
          <w:spacing w:val="-13"/>
          <w:sz w:val="24"/>
        </w:rPr>
        <w:t> </w:t>
      </w:r>
      <w:r>
        <w:rPr>
          <w:sz w:val="24"/>
        </w:rPr>
        <w:t>service</w:t>
      </w:r>
      <w:r>
        <w:rPr>
          <w:spacing w:val="-14"/>
          <w:sz w:val="24"/>
        </w:rPr>
        <w:t> </w:t>
      </w:r>
      <w:r>
        <w:rPr>
          <w:sz w:val="24"/>
        </w:rPr>
        <w:t>activities</w:t>
      </w:r>
      <w:r>
        <w:rPr>
          <w:spacing w:val="-13"/>
          <w:sz w:val="24"/>
        </w:rPr>
        <w:t> </w:t>
      </w:r>
      <w:r>
        <w:rPr>
          <w:sz w:val="24"/>
        </w:rPr>
        <w:t>(both</w:t>
      </w:r>
      <w:r>
        <w:rPr>
          <w:spacing w:val="-14"/>
          <w:sz w:val="24"/>
        </w:rPr>
        <w:t> </w:t>
      </w:r>
      <w:r>
        <w:rPr>
          <w:sz w:val="24"/>
        </w:rPr>
        <w:t>internal</w:t>
      </w:r>
      <w:r>
        <w:rPr>
          <w:spacing w:val="-13"/>
          <w:sz w:val="24"/>
        </w:rPr>
        <w:t> </w:t>
      </w:r>
      <w:r>
        <w:rPr>
          <w:sz w:val="24"/>
        </w:rPr>
        <w:t>and</w:t>
      </w:r>
      <w:r>
        <w:rPr>
          <w:spacing w:val="-11"/>
          <w:sz w:val="24"/>
        </w:rPr>
        <w:t> </w:t>
      </w:r>
      <w:r>
        <w:rPr>
          <w:spacing w:val="-2"/>
          <w:sz w:val="24"/>
        </w:rPr>
        <w:t>external)</w:t>
      </w:r>
    </w:p>
    <w:p>
      <w:pPr>
        <w:spacing w:before="288"/>
        <w:ind w:left="120" w:right="0" w:firstLine="0"/>
        <w:jc w:val="left"/>
        <w:rPr>
          <w:b/>
          <w:sz w:val="24"/>
        </w:rPr>
      </w:pPr>
      <w:bookmarkStart w:name="Dismissal within the Probationary Period" w:id="9"/>
      <w:bookmarkEnd w:id="9"/>
      <w:r>
        <w:rPr/>
      </w:r>
      <w:r>
        <w:rPr>
          <w:b/>
          <w:sz w:val="24"/>
          <w:u w:val="thick"/>
        </w:rPr>
        <w:t>Dismissal</w:t>
      </w:r>
      <w:r>
        <w:rPr>
          <w:b/>
          <w:spacing w:val="-13"/>
          <w:sz w:val="24"/>
          <w:u w:val="thick"/>
        </w:rPr>
        <w:t> </w:t>
      </w:r>
      <w:r>
        <w:rPr>
          <w:b/>
          <w:sz w:val="24"/>
          <w:u w:val="thick"/>
        </w:rPr>
        <w:t>within</w:t>
      </w:r>
      <w:r>
        <w:rPr>
          <w:b/>
          <w:spacing w:val="-12"/>
          <w:sz w:val="24"/>
          <w:u w:val="thick"/>
        </w:rPr>
        <w:t> </w:t>
      </w:r>
      <w:r>
        <w:rPr>
          <w:b/>
          <w:sz w:val="24"/>
          <w:u w:val="thick"/>
        </w:rPr>
        <w:t>the</w:t>
      </w:r>
      <w:r>
        <w:rPr>
          <w:b/>
          <w:spacing w:val="-13"/>
          <w:sz w:val="24"/>
          <w:u w:val="thick"/>
        </w:rPr>
        <w:t> </w:t>
      </w:r>
      <w:r>
        <w:rPr>
          <w:b/>
          <w:sz w:val="24"/>
          <w:u w:val="thick"/>
        </w:rPr>
        <w:t>Probationary</w:t>
      </w:r>
      <w:r>
        <w:rPr>
          <w:b/>
          <w:spacing w:val="-7"/>
          <w:sz w:val="24"/>
          <w:u w:val="thick"/>
        </w:rPr>
        <w:t> </w:t>
      </w:r>
      <w:r>
        <w:rPr>
          <w:b/>
          <w:spacing w:val="-2"/>
          <w:sz w:val="24"/>
          <w:u w:val="thick"/>
        </w:rPr>
        <w:t>Period</w:t>
      </w:r>
    </w:p>
    <w:p>
      <w:pPr>
        <w:pStyle w:val="BodyText"/>
        <w:spacing w:before="24"/>
        <w:rPr>
          <w:b/>
          <w:sz w:val="22"/>
        </w:rPr>
      </w:pPr>
    </w:p>
    <w:p>
      <w:pPr>
        <w:spacing w:before="0"/>
        <w:ind w:left="118" w:right="330" w:firstLine="1"/>
        <w:jc w:val="left"/>
        <w:rPr>
          <w:sz w:val="22"/>
        </w:rPr>
      </w:pPr>
      <w:r>
        <w:rPr>
          <w:sz w:val="22"/>
        </w:rPr>
        <w:t>Following</w:t>
      </w:r>
      <w:r>
        <w:rPr>
          <w:spacing w:val="-1"/>
          <w:sz w:val="22"/>
        </w:rPr>
        <w:t> </w:t>
      </w:r>
      <w:r>
        <w:rPr>
          <w:sz w:val="22"/>
        </w:rPr>
        <w:t>the period</w:t>
      </w:r>
      <w:r>
        <w:rPr>
          <w:spacing w:val="-4"/>
          <w:sz w:val="22"/>
        </w:rPr>
        <w:t> </w:t>
      </w:r>
      <w:r>
        <w:rPr>
          <w:sz w:val="22"/>
        </w:rPr>
        <w:t>of the</w:t>
      </w:r>
      <w:r>
        <w:rPr>
          <w:spacing w:val="-2"/>
          <w:sz w:val="22"/>
        </w:rPr>
        <w:t> </w:t>
      </w:r>
      <w:r>
        <w:rPr>
          <w:sz w:val="22"/>
        </w:rPr>
        <w:t>initial appointment, the Executive Associate Dean</w:t>
      </w:r>
      <w:r>
        <w:rPr>
          <w:spacing w:val="-2"/>
          <w:sz w:val="22"/>
        </w:rPr>
        <w:t> </w:t>
      </w:r>
      <w:r>
        <w:rPr>
          <w:sz w:val="22"/>
        </w:rPr>
        <w:t>or Dean may decide to exercise</w:t>
      </w:r>
      <w:r>
        <w:rPr>
          <w:spacing w:val="-7"/>
          <w:sz w:val="22"/>
        </w:rPr>
        <w:t> </w:t>
      </w:r>
      <w:r>
        <w:rPr>
          <w:sz w:val="22"/>
        </w:rPr>
        <w:t>the</w:t>
      </w:r>
      <w:r>
        <w:rPr>
          <w:spacing w:val="-7"/>
          <w:sz w:val="22"/>
        </w:rPr>
        <w:t> </w:t>
      </w:r>
      <w:r>
        <w:rPr>
          <w:sz w:val="22"/>
        </w:rPr>
        <w:t>Dean’s</w:t>
      </w:r>
      <w:r>
        <w:rPr>
          <w:spacing w:val="-7"/>
          <w:sz w:val="22"/>
        </w:rPr>
        <w:t> </w:t>
      </w:r>
      <w:r>
        <w:rPr>
          <w:sz w:val="22"/>
        </w:rPr>
        <w:t>discretionary</w:t>
      </w:r>
      <w:r>
        <w:rPr>
          <w:spacing w:val="-6"/>
          <w:sz w:val="22"/>
        </w:rPr>
        <w:t> </w:t>
      </w:r>
      <w:r>
        <w:rPr>
          <w:sz w:val="22"/>
        </w:rPr>
        <w:t>right</w:t>
      </w:r>
      <w:r>
        <w:rPr>
          <w:spacing w:val="-3"/>
          <w:sz w:val="22"/>
        </w:rPr>
        <w:t> </w:t>
      </w:r>
      <w:r>
        <w:rPr>
          <w:sz w:val="22"/>
        </w:rPr>
        <w:t>to</w:t>
      </w:r>
      <w:r>
        <w:rPr>
          <w:spacing w:val="-2"/>
          <w:sz w:val="22"/>
        </w:rPr>
        <w:t> </w:t>
      </w:r>
      <w:r>
        <w:rPr>
          <w:sz w:val="22"/>
        </w:rPr>
        <w:t>decline</w:t>
      </w:r>
      <w:r>
        <w:rPr>
          <w:spacing w:val="-7"/>
          <w:sz w:val="22"/>
        </w:rPr>
        <w:t> </w:t>
      </w:r>
      <w:r>
        <w:rPr>
          <w:sz w:val="22"/>
        </w:rPr>
        <w:t>reappointment</w:t>
      </w:r>
      <w:r>
        <w:rPr>
          <w:spacing w:val="-6"/>
          <w:sz w:val="22"/>
        </w:rPr>
        <w:t> </w:t>
      </w:r>
      <w:r>
        <w:rPr>
          <w:sz w:val="22"/>
        </w:rPr>
        <w:t>to</w:t>
      </w:r>
      <w:r>
        <w:rPr>
          <w:spacing w:val="-6"/>
          <w:sz w:val="22"/>
        </w:rPr>
        <w:t> </w:t>
      </w:r>
      <w:r>
        <w:rPr>
          <w:sz w:val="22"/>
        </w:rPr>
        <w:t>a</w:t>
      </w:r>
      <w:r>
        <w:rPr>
          <w:spacing w:val="-6"/>
          <w:sz w:val="22"/>
        </w:rPr>
        <w:t> </w:t>
      </w:r>
      <w:r>
        <w:rPr>
          <w:sz w:val="22"/>
        </w:rPr>
        <w:t>full-time</w:t>
      </w:r>
      <w:r>
        <w:rPr>
          <w:spacing w:val="-9"/>
          <w:sz w:val="22"/>
        </w:rPr>
        <w:t> </w:t>
      </w:r>
      <w:r>
        <w:rPr>
          <w:sz w:val="22"/>
        </w:rPr>
        <w:t>clinical</w:t>
      </w:r>
      <w:r>
        <w:rPr>
          <w:spacing w:val="-8"/>
          <w:sz w:val="22"/>
        </w:rPr>
        <w:t> </w:t>
      </w:r>
      <w:r>
        <w:rPr>
          <w:sz w:val="22"/>
        </w:rPr>
        <w:t>faculty</w:t>
      </w:r>
      <w:r>
        <w:rPr>
          <w:spacing w:val="-6"/>
          <w:sz w:val="22"/>
        </w:rPr>
        <w:t> </w:t>
      </w:r>
      <w:r>
        <w:rPr>
          <w:sz w:val="22"/>
        </w:rPr>
        <w:t>position.</w:t>
      </w:r>
      <w:r>
        <w:rPr>
          <w:spacing w:val="35"/>
          <w:sz w:val="22"/>
        </w:rPr>
        <w:t> </w:t>
      </w:r>
      <w:r>
        <w:rPr>
          <w:sz w:val="22"/>
        </w:rPr>
        <w:t>If this</w:t>
      </w:r>
      <w:r>
        <w:rPr>
          <w:spacing w:val="-1"/>
          <w:sz w:val="22"/>
        </w:rPr>
        <w:t> </w:t>
      </w:r>
      <w:r>
        <w:rPr>
          <w:sz w:val="22"/>
        </w:rPr>
        <w:t>occurs, notice of non-reappointment shall be given in</w:t>
      </w:r>
      <w:r>
        <w:rPr>
          <w:spacing w:val="-1"/>
          <w:sz w:val="22"/>
        </w:rPr>
        <w:t> </w:t>
      </w:r>
      <w:r>
        <w:rPr>
          <w:sz w:val="22"/>
        </w:rPr>
        <w:t>writing at least twelve months before the expiration</w:t>
      </w:r>
      <w:r>
        <w:rPr>
          <w:spacing w:val="-7"/>
          <w:sz w:val="22"/>
        </w:rPr>
        <w:t> </w:t>
      </w:r>
      <w:r>
        <w:rPr>
          <w:sz w:val="22"/>
        </w:rPr>
        <w:t>of</w:t>
      </w:r>
      <w:r>
        <w:rPr>
          <w:spacing w:val="-8"/>
          <w:sz w:val="22"/>
        </w:rPr>
        <w:t> </w:t>
      </w:r>
      <w:r>
        <w:rPr>
          <w:sz w:val="22"/>
        </w:rPr>
        <w:t>an</w:t>
      </w:r>
      <w:r>
        <w:rPr>
          <w:spacing w:val="-5"/>
          <w:sz w:val="22"/>
        </w:rPr>
        <w:t> </w:t>
      </w:r>
      <w:r>
        <w:rPr>
          <w:sz w:val="22"/>
        </w:rPr>
        <w:t>appointment.</w:t>
      </w:r>
      <w:r>
        <w:rPr>
          <w:spacing w:val="37"/>
          <w:sz w:val="22"/>
        </w:rPr>
        <w:t> </w:t>
      </w:r>
      <w:r>
        <w:rPr>
          <w:sz w:val="22"/>
        </w:rPr>
        <w:t>Policies</w:t>
      </w:r>
      <w:r>
        <w:rPr>
          <w:spacing w:val="-4"/>
          <w:sz w:val="22"/>
        </w:rPr>
        <w:t> </w:t>
      </w:r>
      <w:r>
        <w:rPr>
          <w:sz w:val="22"/>
        </w:rPr>
        <w:t>for</w:t>
      </w:r>
      <w:r>
        <w:rPr>
          <w:spacing w:val="-4"/>
          <w:sz w:val="22"/>
        </w:rPr>
        <w:t> </w:t>
      </w:r>
      <w:r>
        <w:rPr>
          <w:sz w:val="22"/>
        </w:rPr>
        <w:t>dismissal</w:t>
      </w:r>
      <w:r>
        <w:rPr>
          <w:spacing w:val="-7"/>
          <w:sz w:val="22"/>
        </w:rPr>
        <w:t> </w:t>
      </w:r>
      <w:r>
        <w:rPr>
          <w:sz w:val="22"/>
        </w:rPr>
        <w:t>within</w:t>
      </w:r>
      <w:r>
        <w:rPr>
          <w:spacing w:val="-5"/>
          <w:sz w:val="22"/>
        </w:rPr>
        <w:t> </w:t>
      </w:r>
      <w:r>
        <w:rPr>
          <w:sz w:val="22"/>
        </w:rPr>
        <w:t>the</w:t>
      </w:r>
      <w:r>
        <w:rPr>
          <w:spacing w:val="-3"/>
          <w:sz w:val="22"/>
        </w:rPr>
        <w:t> </w:t>
      </w:r>
      <w:r>
        <w:rPr>
          <w:sz w:val="22"/>
        </w:rPr>
        <w:t>probationary</w:t>
      </w:r>
      <w:r>
        <w:rPr>
          <w:spacing w:val="-3"/>
          <w:sz w:val="22"/>
        </w:rPr>
        <w:t> </w:t>
      </w:r>
      <w:r>
        <w:rPr>
          <w:sz w:val="22"/>
        </w:rPr>
        <w:t>period</w:t>
      </w:r>
      <w:r>
        <w:rPr>
          <w:spacing w:val="-5"/>
          <w:sz w:val="22"/>
        </w:rPr>
        <w:t> </w:t>
      </w:r>
      <w:r>
        <w:rPr>
          <w:sz w:val="22"/>
        </w:rPr>
        <w:t>are</w:t>
      </w:r>
      <w:r>
        <w:rPr>
          <w:spacing w:val="-3"/>
          <w:sz w:val="22"/>
        </w:rPr>
        <w:t> </w:t>
      </w:r>
      <w:r>
        <w:rPr>
          <w:sz w:val="22"/>
        </w:rPr>
        <w:t>also</w:t>
      </w:r>
      <w:r>
        <w:rPr>
          <w:spacing w:val="-3"/>
          <w:sz w:val="22"/>
        </w:rPr>
        <w:t> </w:t>
      </w:r>
      <w:r>
        <w:rPr>
          <w:sz w:val="22"/>
        </w:rPr>
        <w:t>discussed</w:t>
      </w:r>
      <w:r>
        <w:rPr>
          <w:spacing w:val="-5"/>
          <w:sz w:val="22"/>
        </w:rPr>
        <w:t> </w:t>
      </w:r>
      <w:r>
        <w:rPr>
          <w:sz w:val="22"/>
        </w:rPr>
        <w:t>in IU Policy ACA 18 and further explained in IU Policy ACA 52</w:t>
      </w:r>
    </w:p>
    <w:p>
      <w:pPr>
        <w:pStyle w:val="BodyText"/>
        <w:spacing w:before="25"/>
        <w:rPr>
          <w:sz w:val="22"/>
        </w:rPr>
      </w:pPr>
    </w:p>
    <w:p>
      <w:pPr>
        <w:pStyle w:val="Heading1"/>
        <w:numPr>
          <w:ilvl w:val="1"/>
          <w:numId w:val="1"/>
        </w:numPr>
        <w:tabs>
          <w:tab w:pos="474" w:val="left" w:leader="none"/>
        </w:tabs>
        <w:spacing w:line="240" w:lineRule="auto" w:before="1" w:after="0"/>
        <w:ind w:left="474" w:right="0" w:hanging="354"/>
        <w:jc w:val="left"/>
      </w:pPr>
      <w:r>
        <w:rPr/>
        <w:t>The</w:t>
      </w:r>
      <w:r>
        <w:rPr>
          <w:spacing w:val="-5"/>
        </w:rPr>
        <w:t> </w:t>
      </w:r>
      <w:r>
        <w:rPr/>
        <w:t>Post-Probationary</w:t>
      </w:r>
      <w:r>
        <w:rPr>
          <w:spacing w:val="-5"/>
        </w:rPr>
        <w:t> </w:t>
      </w:r>
      <w:r>
        <w:rPr>
          <w:spacing w:val="-2"/>
        </w:rPr>
        <w:t>Period</w:t>
      </w:r>
    </w:p>
    <w:p>
      <w:pPr>
        <w:pStyle w:val="ListParagraph"/>
        <w:numPr>
          <w:ilvl w:val="0"/>
          <w:numId w:val="3"/>
        </w:numPr>
        <w:tabs>
          <w:tab w:pos="1134" w:val="left" w:leader="none"/>
        </w:tabs>
        <w:spacing w:line="240" w:lineRule="auto" w:before="292" w:after="0"/>
        <w:ind w:left="120" w:right="138" w:firstLine="720"/>
        <w:jc w:val="left"/>
        <w:rPr>
          <w:sz w:val="24"/>
        </w:rPr>
      </w:pPr>
      <w:r>
        <w:rPr>
          <w:b/>
          <w:i/>
          <w:sz w:val="24"/>
        </w:rPr>
        <w:t>Timing of Long-Term Appointment Decision.</w:t>
      </w:r>
      <w:r>
        <w:rPr>
          <w:b/>
          <w:i/>
          <w:spacing w:val="40"/>
          <w:sz w:val="24"/>
        </w:rPr>
        <w:t> </w:t>
      </w:r>
      <w:r>
        <w:rPr>
          <w:sz w:val="24"/>
        </w:rPr>
        <w:t>A Clinical faculty member hired with probationary status must undergo consideration for a non-probationary long-term appointment no later</w:t>
      </w:r>
      <w:r>
        <w:rPr>
          <w:spacing w:val="-3"/>
          <w:sz w:val="24"/>
        </w:rPr>
        <w:t> </w:t>
      </w:r>
      <w:r>
        <w:rPr>
          <w:sz w:val="24"/>
        </w:rPr>
        <w:t>than</w:t>
      </w:r>
      <w:r>
        <w:rPr>
          <w:spacing w:val="-2"/>
          <w:sz w:val="24"/>
        </w:rPr>
        <w:t> </w:t>
      </w:r>
      <w:r>
        <w:rPr>
          <w:sz w:val="24"/>
        </w:rPr>
        <w:t>the faculty</w:t>
      </w:r>
      <w:r>
        <w:rPr>
          <w:spacing w:val="-4"/>
          <w:sz w:val="24"/>
        </w:rPr>
        <w:t> </w:t>
      </w:r>
      <w:r>
        <w:rPr>
          <w:sz w:val="24"/>
        </w:rPr>
        <w:t>member’s</w:t>
      </w:r>
      <w:r>
        <w:rPr>
          <w:spacing w:val="-3"/>
          <w:sz w:val="24"/>
        </w:rPr>
        <w:t> </w:t>
      </w:r>
      <w:r>
        <w:rPr>
          <w:sz w:val="24"/>
        </w:rPr>
        <w:t>sixth</w:t>
      </w:r>
      <w:r>
        <w:rPr>
          <w:spacing w:val="-2"/>
          <w:sz w:val="24"/>
        </w:rPr>
        <w:t> </w:t>
      </w:r>
      <w:r>
        <w:rPr>
          <w:sz w:val="24"/>
        </w:rPr>
        <w:t>year as</w:t>
      </w:r>
      <w:r>
        <w:rPr>
          <w:spacing w:val="-3"/>
          <w:sz w:val="24"/>
        </w:rPr>
        <w:t> </w:t>
      </w:r>
      <w:r>
        <w:rPr>
          <w:sz w:val="24"/>
        </w:rPr>
        <w:t>a</w:t>
      </w:r>
      <w:r>
        <w:rPr>
          <w:spacing w:val="-3"/>
          <w:sz w:val="24"/>
        </w:rPr>
        <w:t> </w:t>
      </w:r>
      <w:r>
        <w:rPr>
          <w:sz w:val="24"/>
        </w:rPr>
        <w:t>member of</w:t>
      </w:r>
      <w:r>
        <w:rPr>
          <w:spacing w:val="-2"/>
          <w:sz w:val="24"/>
        </w:rPr>
        <w:t> </w:t>
      </w:r>
      <w:r>
        <w:rPr>
          <w:sz w:val="24"/>
        </w:rPr>
        <w:t>the</w:t>
      </w:r>
      <w:r>
        <w:rPr>
          <w:spacing w:val="-2"/>
          <w:sz w:val="24"/>
        </w:rPr>
        <w:t> </w:t>
      </w:r>
      <w:r>
        <w:rPr>
          <w:sz w:val="24"/>
        </w:rPr>
        <w:t>Clinical</w:t>
      </w:r>
      <w:r>
        <w:rPr>
          <w:spacing w:val="-3"/>
          <w:sz w:val="24"/>
        </w:rPr>
        <w:t> </w:t>
      </w:r>
      <w:r>
        <w:rPr>
          <w:sz w:val="24"/>
        </w:rPr>
        <w:t>faculty.</w:t>
      </w:r>
      <w:r>
        <w:rPr>
          <w:spacing w:val="-1"/>
          <w:sz w:val="24"/>
        </w:rPr>
        <w:t> </w:t>
      </w:r>
      <w:r>
        <w:rPr>
          <w:sz w:val="24"/>
        </w:rPr>
        <w:t>Depending</w:t>
      </w:r>
      <w:r>
        <w:rPr>
          <w:spacing w:val="-1"/>
          <w:sz w:val="24"/>
        </w:rPr>
        <w:t> </w:t>
      </w:r>
      <w:r>
        <w:rPr>
          <w:sz w:val="24"/>
        </w:rPr>
        <w:t>on a number of factors including prior academic experience and performance, the faculty member may be considered for long-term appointment in years four through six. If the process outlined below leads to a decision that the Clinical faculty member should receive a non-probationary long-term</w:t>
      </w:r>
      <w:r>
        <w:rPr>
          <w:spacing w:val="-5"/>
          <w:sz w:val="24"/>
        </w:rPr>
        <w:t> </w:t>
      </w:r>
      <w:r>
        <w:rPr>
          <w:sz w:val="24"/>
        </w:rPr>
        <w:t>appointment,</w:t>
      </w:r>
      <w:r>
        <w:rPr>
          <w:spacing w:val="-5"/>
          <w:sz w:val="24"/>
        </w:rPr>
        <w:t> </w:t>
      </w:r>
      <w:r>
        <w:rPr>
          <w:sz w:val="24"/>
        </w:rPr>
        <w:t>that</w:t>
      </w:r>
      <w:r>
        <w:rPr>
          <w:spacing w:val="-2"/>
          <w:sz w:val="24"/>
        </w:rPr>
        <w:t> </w:t>
      </w:r>
      <w:r>
        <w:rPr>
          <w:sz w:val="24"/>
        </w:rPr>
        <w:t>appointment</w:t>
      </w:r>
      <w:r>
        <w:rPr>
          <w:spacing w:val="-3"/>
          <w:sz w:val="24"/>
        </w:rPr>
        <w:t> </w:t>
      </w:r>
      <w:r>
        <w:rPr>
          <w:sz w:val="24"/>
        </w:rPr>
        <w:t>will</w:t>
      </w:r>
      <w:r>
        <w:rPr>
          <w:spacing w:val="-3"/>
          <w:sz w:val="24"/>
        </w:rPr>
        <w:t> </w:t>
      </w:r>
      <w:r>
        <w:rPr>
          <w:sz w:val="24"/>
        </w:rPr>
        <w:t>supersede</w:t>
      </w:r>
      <w:r>
        <w:rPr>
          <w:spacing w:val="-4"/>
          <w:sz w:val="24"/>
        </w:rPr>
        <w:t> </w:t>
      </w:r>
      <w:r>
        <w:rPr>
          <w:sz w:val="24"/>
        </w:rPr>
        <w:t>the</w:t>
      </w:r>
      <w:r>
        <w:rPr>
          <w:spacing w:val="-4"/>
          <w:sz w:val="24"/>
        </w:rPr>
        <w:t> </w:t>
      </w:r>
      <w:r>
        <w:rPr>
          <w:sz w:val="24"/>
        </w:rPr>
        <w:t>terms</w:t>
      </w:r>
      <w:r>
        <w:rPr>
          <w:spacing w:val="-4"/>
          <w:sz w:val="24"/>
        </w:rPr>
        <w:t> </w:t>
      </w:r>
      <w:r>
        <w:rPr>
          <w:sz w:val="24"/>
        </w:rPr>
        <w:t>of</w:t>
      </w:r>
      <w:r>
        <w:rPr>
          <w:spacing w:val="-2"/>
          <w:sz w:val="24"/>
        </w:rPr>
        <w:t> </w:t>
      </w:r>
      <w:r>
        <w:rPr>
          <w:sz w:val="24"/>
        </w:rPr>
        <w:t>any</w:t>
      </w:r>
      <w:r>
        <w:rPr>
          <w:spacing w:val="-4"/>
          <w:sz w:val="24"/>
        </w:rPr>
        <w:t> </w:t>
      </w:r>
      <w:r>
        <w:rPr>
          <w:sz w:val="24"/>
        </w:rPr>
        <w:t>previous</w:t>
      </w:r>
      <w:r>
        <w:rPr>
          <w:spacing w:val="-4"/>
          <w:sz w:val="24"/>
        </w:rPr>
        <w:t> </w:t>
      </w:r>
      <w:r>
        <w:rPr>
          <w:sz w:val="24"/>
        </w:rPr>
        <w:t>appointment still in existence for the Clinical faculty member. The long-term appointment may be either a 5- year renewable appointment or a 3-year rolling appointment, but normally is the former. A Clinical faculty member who is not approved for a non-probationary long-term appointment will remain on the faculty for an additional year, which will serve as a separation year.</w:t>
      </w:r>
    </w:p>
    <w:p>
      <w:pPr>
        <w:pStyle w:val="BodyText"/>
      </w:pPr>
    </w:p>
    <w:p>
      <w:pPr>
        <w:pStyle w:val="ListParagraph"/>
        <w:numPr>
          <w:ilvl w:val="0"/>
          <w:numId w:val="3"/>
        </w:numPr>
        <w:tabs>
          <w:tab w:pos="1136" w:val="left" w:leader="none"/>
        </w:tabs>
        <w:spacing w:line="240" w:lineRule="auto" w:before="1" w:after="0"/>
        <w:ind w:left="120" w:right="115" w:firstLine="720"/>
        <w:jc w:val="left"/>
        <w:rPr>
          <w:sz w:val="24"/>
        </w:rPr>
      </w:pPr>
      <w:r>
        <w:rPr>
          <w:b/>
          <w:i/>
          <w:sz w:val="24"/>
        </w:rPr>
        <w:t>Relationship Between Long-Term Appointment Decision and Promotion Decision.</w:t>
      </w:r>
      <w:r>
        <w:rPr>
          <w:b/>
          <w:i/>
          <w:sz w:val="24"/>
        </w:rPr>
        <w:t> </w:t>
      </w:r>
      <w:r>
        <w:rPr>
          <w:sz w:val="24"/>
        </w:rPr>
        <w:t>Long-term appointment and promotion decisions are separate decisions, and they may occur at different</w:t>
      </w:r>
      <w:r>
        <w:rPr>
          <w:spacing w:val="-2"/>
          <w:sz w:val="24"/>
        </w:rPr>
        <w:t> </w:t>
      </w:r>
      <w:r>
        <w:rPr>
          <w:sz w:val="24"/>
        </w:rPr>
        <w:t>times.</w:t>
      </w:r>
      <w:r>
        <w:rPr>
          <w:spacing w:val="-1"/>
          <w:sz w:val="24"/>
        </w:rPr>
        <w:t> </w:t>
      </w:r>
      <w:r>
        <w:rPr>
          <w:sz w:val="24"/>
        </w:rPr>
        <w:t>Faculty</w:t>
      </w:r>
      <w:r>
        <w:rPr>
          <w:spacing w:val="-4"/>
          <w:sz w:val="24"/>
        </w:rPr>
        <w:t> </w:t>
      </w:r>
      <w:r>
        <w:rPr>
          <w:sz w:val="24"/>
        </w:rPr>
        <w:t>hired at</w:t>
      </w:r>
      <w:r>
        <w:rPr>
          <w:spacing w:val="-2"/>
          <w:sz w:val="24"/>
        </w:rPr>
        <w:t> </w:t>
      </w:r>
      <w:r>
        <w:rPr>
          <w:sz w:val="24"/>
        </w:rPr>
        <w:t>the</w:t>
      </w:r>
      <w:r>
        <w:rPr>
          <w:spacing w:val="-3"/>
          <w:sz w:val="24"/>
        </w:rPr>
        <w:t> </w:t>
      </w:r>
      <w:r>
        <w:rPr>
          <w:sz w:val="24"/>
        </w:rPr>
        <w:t>clinical</w:t>
      </w:r>
      <w:r>
        <w:rPr>
          <w:spacing w:val="-3"/>
          <w:sz w:val="24"/>
        </w:rPr>
        <w:t> </w:t>
      </w:r>
      <w:r>
        <w:rPr>
          <w:sz w:val="24"/>
        </w:rPr>
        <w:t>assistant</w:t>
      </w:r>
      <w:r>
        <w:rPr>
          <w:spacing w:val="-2"/>
          <w:sz w:val="24"/>
        </w:rPr>
        <w:t> </w:t>
      </w:r>
      <w:r>
        <w:rPr>
          <w:sz w:val="24"/>
        </w:rPr>
        <w:t>or clinical</w:t>
      </w:r>
      <w:r>
        <w:rPr>
          <w:spacing w:val="-3"/>
          <w:sz w:val="24"/>
        </w:rPr>
        <w:t> </w:t>
      </w:r>
      <w:r>
        <w:rPr>
          <w:sz w:val="24"/>
        </w:rPr>
        <w:t>associate</w:t>
      </w:r>
      <w:r>
        <w:rPr>
          <w:spacing w:val="-2"/>
          <w:sz w:val="24"/>
        </w:rPr>
        <w:t> </w:t>
      </w:r>
      <w:r>
        <w:rPr>
          <w:sz w:val="24"/>
        </w:rPr>
        <w:t>professor</w:t>
      </w:r>
      <w:r>
        <w:rPr>
          <w:spacing w:val="-3"/>
          <w:sz w:val="24"/>
        </w:rPr>
        <w:t> </w:t>
      </w:r>
      <w:r>
        <w:rPr>
          <w:sz w:val="24"/>
        </w:rPr>
        <w:t>ranks</w:t>
      </w:r>
      <w:r>
        <w:rPr>
          <w:spacing w:val="-1"/>
          <w:sz w:val="24"/>
        </w:rPr>
        <w:t> </w:t>
      </w:r>
      <w:r>
        <w:rPr>
          <w:sz w:val="24"/>
        </w:rPr>
        <w:t>have</w:t>
      </w:r>
      <w:r>
        <w:rPr>
          <w:spacing w:val="-2"/>
          <w:sz w:val="24"/>
        </w:rPr>
        <w:t> </w:t>
      </w:r>
      <w:r>
        <w:rPr>
          <w:sz w:val="24"/>
        </w:rPr>
        <w:t>the option</w:t>
      </w:r>
      <w:r>
        <w:rPr>
          <w:spacing w:val="-3"/>
          <w:sz w:val="24"/>
        </w:rPr>
        <w:t> </w:t>
      </w:r>
      <w:r>
        <w:rPr>
          <w:sz w:val="24"/>
        </w:rPr>
        <w:t>to</w:t>
      </w:r>
      <w:r>
        <w:rPr>
          <w:spacing w:val="-3"/>
          <w:sz w:val="24"/>
        </w:rPr>
        <w:t> </w:t>
      </w:r>
      <w:r>
        <w:rPr>
          <w:sz w:val="24"/>
        </w:rPr>
        <w:t>pair,</w:t>
      </w:r>
      <w:r>
        <w:rPr>
          <w:spacing w:val="-4"/>
          <w:sz w:val="24"/>
        </w:rPr>
        <w:t> </w:t>
      </w:r>
      <w:r>
        <w:rPr>
          <w:sz w:val="24"/>
        </w:rPr>
        <w:t>or</w:t>
      </w:r>
      <w:r>
        <w:rPr>
          <w:spacing w:val="-4"/>
          <w:sz w:val="24"/>
        </w:rPr>
        <w:t> </w:t>
      </w:r>
      <w:r>
        <w:rPr>
          <w:sz w:val="24"/>
        </w:rPr>
        <w:t>not</w:t>
      </w:r>
      <w:r>
        <w:rPr>
          <w:spacing w:val="-3"/>
          <w:sz w:val="24"/>
        </w:rPr>
        <w:t> </w:t>
      </w:r>
      <w:r>
        <w:rPr>
          <w:sz w:val="24"/>
        </w:rPr>
        <w:t>pair,</w:t>
      </w:r>
      <w:r>
        <w:rPr>
          <w:spacing w:val="-1"/>
          <w:sz w:val="24"/>
        </w:rPr>
        <w:t> </w:t>
      </w:r>
      <w:r>
        <w:rPr>
          <w:sz w:val="24"/>
        </w:rPr>
        <w:t>a</w:t>
      </w:r>
      <w:r>
        <w:rPr>
          <w:spacing w:val="-4"/>
          <w:sz w:val="24"/>
        </w:rPr>
        <w:t> </w:t>
      </w:r>
      <w:r>
        <w:rPr>
          <w:sz w:val="24"/>
        </w:rPr>
        <w:t>promotion request</w:t>
      </w:r>
      <w:r>
        <w:rPr>
          <w:spacing w:val="-3"/>
          <w:sz w:val="24"/>
        </w:rPr>
        <w:t> </w:t>
      </w:r>
      <w:r>
        <w:rPr>
          <w:sz w:val="24"/>
        </w:rPr>
        <w:t>with</w:t>
      </w:r>
      <w:r>
        <w:rPr>
          <w:spacing w:val="-3"/>
          <w:sz w:val="24"/>
        </w:rPr>
        <w:t> </w:t>
      </w:r>
      <w:r>
        <w:rPr>
          <w:sz w:val="24"/>
        </w:rPr>
        <w:t>the</w:t>
      </w:r>
      <w:r>
        <w:rPr>
          <w:spacing w:val="-1"/>
          <w:sz w:val="24"/>
        </w:rPr>
        <w:t> </w:t>
      </w:r>
      <w:r>
        <w:rPr>
          <w:sz w:val="24"/>
        </w:rPr>
        <w:t>long-term</w:t>
      </w:r>
      <w:r>
        <w:rPr>
          <w:spacing w:val="-4"/>
          <w:sz w:val="24"/>
        </w:rPr>
        <w:t> </w:t>
      </w:r>
      <w:r>
        <w:rPr>
          <w:sz w:val="24"/>
        </w:rPr>
        <w:t>appointment</w:t>
      </w:r>
      <w:r>
        <w:rPr>
          <w:spacing w:val="-3"/>
          <w:sz w:val="24"/>
        </w:rPr>
        <w:t> </w:t>
      </w:r>
      <w:r>
        <w:rPr>
          <w:sz w:val="24"/>
        </w:rPr>
        <w:t>decision.</w:t>
      </w:r>
      <w:r>
        <w:rPr>
          <w:spacing w:val="-5"/>
          <w:sz w:val="24"/>
        </w:rPr>
        <w:t> </w:t>
      </w:r>
      <w:r>
        <w:rPr>
          <w:sz w:val="24"/>
        </w:rPr>
        <w:t>Faculty hired at the </w:t>
      </w:r>
      <w:r>
        <w:rPr>
          <w:i/>
          <w:sz w:val="24"/>
        </w:rPr>
        <w:t>clinical professor </w:t>
      </w:r>
      <w:r>
        <w:rPr>
          <w:sz w:val="24"/>
        </w:rPr>
        <w:t>rank are already at full rank. Accordingly, the required</w:t>
      </w:r>
      <w:r>
        <w:rPr>
          <w:spacing w:val="40"/>
          <w:sz w:val="24"/>
        </w:rPr>
        <w:t> </w:t>
      </w:r>
      <w:r>
        <w:rPr>
          <w:sz w:val="24"/>
        </w:rPr>
        <w:t>consideration of the faculty member for a non-probationary long-term appointment would not be accompanied by any promotion-related review. (For further information on clinical faculty</w:t>
      </w:r>
    </w:p>
    <w:p>
      <w:pPr>
        <w:spacing w:after="0" w:line="240" w:lineRule="auto"/>
        <w:jc w:val="left"/>
        <w:rPr>
          <w:sz w:val="24"/>
        </w:rPr>
        <w:sectPr>
          <w:pgSz w:w="12240" w:h="15840"/>
          <w:pgMar w:header="0" w:footer="1712" w:top="1360" w:bottom="1980" w:left="1320" w:right="1180"/>
        </w:sectPr>
      </w:pPr>
    </w:p>
    <w:p>
      <w:pPr>
        <w:pStyle w:val="BodyText"/>
        <w:spacing w:before="39"/>
        <w:ind w:left="120"/>
      </w:pPr>
      <w:r>
        <w:rPr/>
        <w:t>promotions,</w:t>
      </w:r>
      <w:r>
        <w:rPr>
          <w:spacing w:val="-3"/>
        </w:rPr>
        <w:t> </w:t>
      </w:r>
      <w:r>
        <w:rPr/>
        <w:t>see</w:t>
      </w:r>
      <w:r>
        <w:rPr>
          <w:spacing w:val="-2"/>
        </w:rPr>
        <w:t> </w:t>
      </w:r>
      <w:r>
        <w:rPr/>
        <w:t>Section</w:t>
      </w:r>
      <w:r>
        <w:rPr>
          <w:spacing w:val="-2"/>
        </w:rPr>
        <w:t> </w:t>
      </w:r>
      <w:r>
        <w:rPr/>
        <w:t>III</w:t>
      </w:r>
      <w:r>
        <w:rPr>
          <w:spacing w:val="-1"/>
        </w:rPr>
        <w:t> </w:t>
      </w:r>
      <w:r>
        <w:rPr/>
        <w:t>of this</w:t>
      </w:r>
      <w:r>
        <w:rPr>
          <w:spacing w:val="-2"/>
        </w:rPr>
        <w:t> document.)</w:t>
      </w:r>
    </w:p>
    <w:p>
      <w:pPr>
        <w:pStyle w:val="BodyText"/>
      </w:pPr>
    </w:p>
    <w:p>
      <w:pPr>
        <w:pStyle w:val="BodyText"/>
        <w:ind w:left="120" w:right="182" w:firstLine="720"/>
      </w:pPr>
      <w:r>
        <w:rPr/>
        <w:t>A clinical assistant professor or clinical associate professor qualifying for long-term appointment does not necessarily qualify for promotion. The long-term appointment process differs significantly as the promotion process includes external review as well as evaluation at both</w:t>
      </w:r>
      <w:r>
        <w:rPr>
          <w:spacing w:val="-4"/>
        </w:rPr>
        <w:t> </w:t>
      </w:r>
      <w:r>
        <w:rPr/>
        <w:t>the</w:t>
      </w:r>
      <w:r>
        <w:rPr>
          <w:spacing w:val="-4"/>
        </w:rPr>
        <w:t> </w:t>
      </w:r>
      <w:r>
        <w:rPr/>
        <w:t>campus,</w:t>
      </w:r>
      <w:r>
        <w:rPr>
          <w:spacing w:val="-5"/>
        </w:rPr>
        <w:t> </w:t>
      </w:r>
      <w:r>
        <w:rPr/>
        <w:t>and</w:t>
      </w:r>
      <w:r>
        <w:rPr>
          <w:spacing w:val="-4"/>
        </w:rPr>
        <w:t> </w:t>
      </w:r>
      <w:r>
        <w:rPr/>
        <w:t>university</w:t>
      </w:r>
      <w:r>
        <w:rPr>
          <w:spacing w:val="-3"/>
        </w:rPr>
        <w:t> </w:t>
      </w:r>
      <w:r>
        <w:rPr/>
        <w:t>levels.</w:t>
      </w:r>
      <w:r>
        <w:rPr>
          <w:spacing w:val="-3"/>
        </w:rPr>
        <w:t> </w:t>
      </w:r>
      <w:r>
        <w:rPr/>
        <w:t>Additionally,</w:t>
      </w:r>
      <w:r>
        <w:rPr>
          <w:spacing w:val="-2"/>
        </w:rPr>
        <w:t> </w:t>
      </w:r>
      <w:r>
        <w:rPr/>
        <w:t>while</w:t>
      </w:r>
      <w:r>
        <w:rPr>
          <w:spacing w:val="-2"/>
        </w:rPr>
        <w:t> </w:t>
      </w:r>
      <w:r>
        <w:rPr/>
        <w:t>published</w:t>
      </w:r>
      <w:r>
        <w:rPr>
          <w:spacing w:val="-4"/>
        </w:rPr>
        <w:t> </w:t>
      </w:r>
      <w:r>
        <w:rPr/>
        <w:t>scholarship</w:t>
      </w:r>
      <w:r>
        <w:rPr>
          <w:spacing w:val="-4"/>
        </w:rPr>
        <w:t> </w:t>
      </w:r>
      <w:r>
        <w:rPr/>
        <w:t>in</w:t>
      </w:r>
      <w:r>
        <w:rPr>
          <w:spacing w:val="-4"/>
        </w:rPr>
        <w:t> </w:t>
      </w:r>
      <w:r>
        <w:rPr/>
        <w:t>teaching</w:t>
      </w:r>
      <w:r>
        <w:rPr>
          <w:spacing w:val="-3"/>
        </w:rPr>
        <w:t> </w:t>
      </w:r>
      <w:r>
        <w:rPr/>
        <w:t>and service is a requirement for promotion (Section III - B), published scholarship in teaching and service can be considered, but is not required for a long-term appointment. For faculty who already holding a long-term appointment, promotion does not impact the long-term appointment cycle.</w:t>
      </w:r>
    </w:p>
    <w:p>
      <w:pPr>
        <w:pStyle w:val="BodyText"/>
        <w:spacing w:before="1"/>
      </w:pPr>
    </w:p>
    <w:p>
      <w:pPr>
        <w:pStyle w:val="ListParagraph"/>
        <w:numPr>
          <w:ilvl w:val="0"/>
          <w:numId w:val="3"/>
        </w:numPr>
        <w:tabs>
          <w:tab w:pos="1134" w:val="left" w:leader="none"/>
        </w:tabs>
        <w:spacing w:line="240" w:lineRule="auto" w:before="0" w:after="0"/>
        <w:ind w:left="120" w:right="160" w:firstLine="720"/>
        <w:jc w:val="left"/>
        <w:rPr>
          <w:sz w:val="24"/>
        </w:rPr>
      </w:pPr>
      <w:r>
        <w:rPr>
          <w:b/>
          <w:i/>
          <w:sz w:val="24"/>
        </w:rPr>
        <w:t>Criteria for Earning Long-Term Appointment. </w:t>
      </w:r>
      <w:r>
        <w:rPr>
          <w:sz w:val="24"/>
        </w:rPr>
        <w:t>University Policy ACA-18 provides that Clinical</w:t>
      </w:r>
      <w:r>
        <w:rPr>
          <w:spacing w:val="-3"/>
          <w:sz w:val="24"/>
        </w:rPr>
        <w:t> </w:t>
      </w:r>
      <w:r>
        <w:rPr>
          <w:sz w:val="24"/>
        </w:rPr>
        <w:t>faculty</w:t>
      </w:r>
      <w:r>
        <w:rPr>
          <w:spacing w:val="-4"/>
          <w:sz w:val="24"/>
        </w:rPr>
        <w:t> </w:t>
      </w:r>
      <w:r>
        <w:rPr>
          <w:sz w:val="24"/>
        </w:rPr>
        <w:t>under</w:t>
      </w:r>
      <w:r>
        <w:rPr>
          <w:spacing w:val="-3"/>
          <w:sz w:val="24"/>
        </w:rPr>
        <w:t> </w:t>
      </w:r>
      <w:r>
        <w:rPr>
          <w:sz w:val="24"/>
        </w:rPr>
        <w:t>consideration</w:t>
      </w:r>
      <w:r>
        <w:rPr>
          <w:spacing w:val="-5"/>
          <w:sz w:val="24"/>
        </w:rPr>
        <w:t> </w:t>
      </w:r>
      <w:r>
        <w:rPr>
          <w:sz w:val="24"/>
        </w:rPr>
        <w:t>for</w:t>
      </w:r>
      <w:r>
        <w:rPr>
          <w:spacing w:val="-6"/>
          <w:sz w:val="24"/>
        </w:rPr>
        <w:t> </w:t>
      </w:r>
      <w:r>
        <w:rPr>
          <w:sz w:val="24"/>
        </w:rPr>
        <w:t>a</w:t>
      </w:r>
      <w:r>
        <w:rPr>
          <w:spacing w:val="-6"/>
          <w:sz w:val="24"/>
        </w:rPr>
        <w:t> </w:t>
      </w:r>
      <w:r>
        <w:rPr>
          <w:sz w:val="24"/>
        </w:rPr>
        <w:t>non-probationary</w:t>
      </w:r>
      <w:r>
        <w:rPr>
          <w:spacing w:val="-4"/>
          <w:sz w:val="24"/>
        </w:rPr>
        <w:t> </w:t>
      </w:r>
      <w:r>
        <w:rPr>
          <w:sz w:val="24"/>
        </w:rPr>
        <w:t>long-term</w:t>
      </w:r>
      <w:r>
        <w:rPr>
          <w:spacing w:val="-6"/>
          <w:sz w:val="24"/>
        </w:rPr>
        <w:t> </w:t>
      </w:r>
      <w:r>
        <w:rPr>
          <w:sz w:val="24"/>
        </w:rPr>
        <w:t>appointment</w:t>
      </w:r>
      <w:r>
        <w:rPr>
          <w:spacing w:val="-2"/>
          <w:sz w:val="24"/>
        </w:rPr>
        <w:t> </w:t>
      </w:r>
      <w:r>
        <w:rPr>
          <w:sz w:val="24"/>
        </w:rPr>
        <w:t>are</w:t>
      </w:r>
      <w:r>
        <w:rPr>
          <w:spacing w:val="-5"/>
          <w:sz w:val="24"/>
        </w:rPr>
        <w:t> </w:t>
      </w:r>
      <w:r>
        <w:rPr>
          <w:sz w:val="24"/>
        </w:rPr>
        <w:t>evaluated on the basis of their performances in teaching and service.</w:t>
      </w:r>
    </w:p>
    <w:p>
      <w:pPr>
        <w:pStyle w:val="BodyText"/>
        <w:spacing w:before="292"/>
        <w:ind w:left="120" w:firstLine="720"/>
      </w:pPr>
      <w:r>
        <w:rPr/>
        <w:t>For</w:t>
      </w:r>
      <w:r>
        <w:rPr>
          <w:spacing w:val="-4"/>
        </w:rPr>
        <w:t> </w:t>
      </w:r>
      <w:r>
        <w:rPr/>
        <w:t>purposes</w:t>
      </w:r>
      <w:r>
        <w:rPr>
          <w:spacing w:val="-5"/>
        </w:rPr>
        <w:t> </w:t>
      </w:r>
      <w:r>
        <w:rPr/>
        <w:t>of</w:t>
      </w:r>
      <w:r>
        <w:rPr>
          <w:spacing w:val="-3"/>
        </w:rPr>
        <w:t> </w:t>
      </w:r>
      <w:r>
        <w:rPr/>
        <w:t>long-term</w:t>
      </w:r>
      <w:r>
        <w:rPr>
          <w:spacing w:val="-4"/>
        </w:rPr>
        <w:t> </w:t>
      </w:r>
      <w:r>
        <w:rPr/>
        <w:t>appointment</w:t>
      </w:r>
      <w:r>
        <w:rPr>
          <w:spacing w:val="-6"/>
        </w:rPr>
        <w:t> </w:t>
      </w:r>
      <w:r>
        <w:rPr/>
        <w:t>decisions,</w:t>
      </w:r>
      <w:r>
        <w:rPr>
          <w:spacing w:val="-4"/>
        </w:rPr>
        <w:t> </w:t>
      </w:r>
      <w:r>
        <w:rPr/>
        <w:t>the</w:t>
      </w:r>
      <w:r>
        <w:rPr>
          <w:spacing w:val="-4"/>
        </w:rPr>
        <w:t> </w:t>
      </w:r>
      <w:r>
        <w:rPr/>
        <w:t>probationary</w:t>
      </w:r>
      <w:r>
        <w:rPr>
          <w:spacing w:val="-5"/>
        </w:rPr>
        <w:t> </w:t>
      </w:r>
      <w:r>
        <w:rPr/>
        <w:t>Clinical</w:t>
      </w:r>
      <w:r>
        <w:rPr>
          <w:spacing w:val="-4"/>
        </w:rPr>
        <w:t> </w:t>
      </w:r>
      <w:r>
        <w:rPr/>
        <w:t>faculty member’s performance in teaching and service is evaluated with reference to the list of considerations articulated in Section II(B).</w:t>
      </w:r>
    </w:p>
    <w:p>
      <w:pPr>
        <w:pStyle w:val="ListParagraph"/>
        <w:numPr>
          <w:ilvl w:val="0"/>
          <w:numId w:val="4"/>
        </w:numPr>
        <w:tabs>
          <w:tab w:pos="839" w:val="left" w:leader="none"/>
        </w:tabs>
        <w:spacing w:line="240" w:lineRule="auto" w:before="292" w:after="0"/>
        <w:ind w:left="839" w:right="0" w:hanging="359"/>
        <w:jc w:val="left"/>
        <w:rPr>
          <w:sz w:val="24"/>
        </w:rPr>
      </w:pPr>
      <w:r>
        <w:rPr>
          <w:sz w:val="24"/>
        </w:rPr>
        <w:t>Classroom</w:t>
      </w:r>
      <w:r>
        <w:rPr>
          <w:spacing w:val="-2"/>
          <w:sz w:val="24"/>
        </w:rPr>
        <w:t> </w:t>
      </w:r>
      <w:r>
        <w:rPr>
          <w:sz w:val="24"/>
        </w:rPr>
        <w:t>and</w:t>
      </w:r>
      <w:r>
        <w:rPr>
          <w:spacing w:val="-1"/>
          <w:sz w:val="24"/>
        </w:rPr>
        <w:t> </w:t>
      </w:r>
      <w:r>
        <w:rPr>
          <w:sz w:val="24"/>
        </w:rPr>
        <w:t>courses</w:t>
      </w:r>
      <w:r>
        <w:rPr>
          <w:spacing w:val="-4"/>
          <w:sz w:val="24"/>
        </w:rPr>
        <w:t> </w:t>
      </w:r>
      <w:r>
        <w:rPr>
          <w:spacing w:val="-2"/>
          <w:sz w:val="24"/>
        </w:rPr>
        <w:t>performance</w:t>
      </w:r>
    </w:p>
    <w:p>
      <w:pPr>
        <w:pStyle w:val="ListParagraph"/>
        <w:numPr>
          <w:ilvl w:val="0"/>
          <w:numId w:val="4"/>
        </w:numPr>
        <w:tabs>
          <w:tab w:pos="839" w:val="left" w:leader="none"/>
        </w:tabs>
        <w:spacing w:line="305" w:lineRule="exact" w:before="1" w:after="0"/>
        <w:ind w:left="839" w:right="0" w:hanging="359"/>
        <w:jc w:val="left"/>
        <w:rPr>
          <w:sz w:val="24"/>
        </w:rPr>
      </w:pPr>
      <w:r>
        <w:rPr>
          <w:sz w:val="24"/>
        </w:rPr>
        <w:t>Curriculum</w:t>
      </w:r>
      <w:r>
        <w:rPr>
          <w:spacing w:val="-1"/>
          <w:sz w:val="24"/>
        </w:rPr>
        <w:t> </w:t>
      </w:r>
      <w:r>
        <w:rPr>
          <w:spacing w:val="-2"/>
          <w:sz w:val="24"/>
        </w:rPr>
        <w:t>development</w:t>
      </w:r>
    </w:p>
    <w:p>
      <w:pPr>
        <w:pStyle w:val="ListParagraph"/>
        <w:numPr>
          <w:ilvl w:val="0"/>
          <w:numId w:val="4"/>
        </w:numPr>
        <w:tabs>
          <w:tab w:pos="839" w:val="left" w:leader="none"/>
        </w:tabs>
        <w:spacing w:line="305" w:lineRule="exact" w:before="0" w:after="0"/>
        <w:ind w:left="839" w:right="0" w:hanging="359"/>
        <w:jc w:val="left"/>
        <w:rPr>
          <w:sz w:val="24"/>
        </w:rPr>
      </w:pPr>
      <w:r>
        <w:rPr>
          <w:sz w:val="24"/>
        </w:rPr>
        <w:t>Professional</w:t>
      </w:r>
      <w:r>
        <w:rPr>
          <w:spacing w:val="-5"/>
          <w:sz w:val="24"/>
        </w:rPr>
        <w:t> </w:t>
      </w:r>
      <w:r>
        <w:rPr>
          <w:spacing w:val="-2"/>
          <w:sz w:val="24"/>
        </w:rPr>
        <w:t>development</w:t>
      </w:r>
    </w:p>
    <w:p>
      <w:pPr>
        <w:pStyle w:val="ListParagraph"/>
        <w:numPr>
          <w:ilvl w:val="0"/>
          <w:numId w:val="4"/>
        </w:numPr>
        <w:tabs>
          <w:tab w:pos="839" w:val="left" w:leader="none"/>
        </w:tabs>
        <w:spacing w:line="305" w:lineRule="exact" w:before="1" w:after="0"/>
        <w:ind w:left="839" w:right="0" w:hanging="359"/>
        <w:jc w:val="left"/>
        <w:rPr>
          <w:sz w:val="24"/>
        </w:rPr>
      </w:pPr>
      <w:r>
        <w:rPr>
          <w:sz w:val="24"/>
        </w:rPr>
        <w:t>School</w:t>
      </w:r>
      <w:r>
        <w:rPr>
          <w:spacing w:val="-2"/>
          <w:sz w:val="24"/>
        </w:rPr>
        <w:t> </w:t>
      </w:r>
      <w:r>
        <w:rPr>
          <w:sz w:val="24"/>
        </w:rPr>
        <w:t>and</w:t>
      </w:r>
      <w:r>
        <w:rPr>
          <w:spacing w:val="-2"/>
          <w:sz w:val="24"/>
        </w:rPr>
        <w:t> </w:t>
      </w:r>
      <w:r>
        <w:rPr>
          <w:sz w:val="24"/>
        </w:rPr>
        <w:t>University</w:t>
      </w:r>
      <w:r>
        <w:rPr>
          <w:spacing w:val="-2"/>
          <w:sz w:val="24"/>
        </w:rPr>
        <w:t> Service</w:t>
      </w:r>
    </w:p>
    <w:p>
      <w:pPr>
        <w:pStyle w:val="ListParagraph"/>
        <w:numPr>
          <w:ilvl w:val="0"/>
          <w:numId w:val="4"/>
        </w:numPr>
        <w:tabs>
          <w:tab w:pos="839" w:val="left" w:leader="none"/>
        </w:tabs>
        <w:spacing w:line="305" w:lineRule="exact" w:before="0" w:after="0"/>
        <w:ind w:left="839" w:right="0" w:hanging="359"/>
        <w:jc w:val="left"/>
        <w:rPr>
          <w:sz w:val="24"/>
        </w:rPr>
      </w:pPr>
      <w:r>
        <w:rPr>
          <w:sz w:val="24"/>
        </w:rPr>
        <w:t>AACSB</w:t>
      </w:r>
      <w:r>
        <w:rPr>
          <w:spacing w:val="-3"/>
          <w:sz w:val="24"/>
        </w:rPr>
        <w:t> </w:t>
      </w:r>
      <w:r>
        <w:rPr>
          <w:sz w:val="24"/>
        </w:rPr>
        <w:t>faculty</w:t>
      </w:r>
      <w:r>
        <w:rPr>
          <w:spacing w:val="-4"/>
          <w:sz w:val="24"/>
        </w:rPr>
        <w:t> </w:t>
      </w:r>
      <w:r>
        <w:rPr>
          <w:sz w:val="24"/>
        </w:rPr>
        <w:t>qualification</w:t>
      </w:r>
      <w:r>
        <w:rPr>
          <w:spacing w:val="1"/>
          <w:sz w:val="24"/>
        </w:rPr>
        <w:t> </w:t>
      </w:r>
      <w:r>
        <w:rPr>
          <w:sz w:val="24"/>
        </w:rPr>
        <w:t>appropriate</w:t>
      </w:r>
      <w:r>
        <w:rPr>
          <w:spacing w:val="-2"/>
          <w:sz w:val="24"/>
        </w:rPr>
        <w:t> </w:t>
      </w:r>
      <w:r>
        <w:rPr>
          <w:sz w:val="24"/>
        </w:rPr>
        <w:t>for</w:t>
      </w:r>
      <w:r>
        <w:rPr>
          <w:spacing w:val="-3"/>
          <w:sz w:val="24"/>
        </w:rPr>
        <w:t> </w:t>
      </w:r>
      <w:r>
        <w:rPr>
          <w:sz w:val="24"/>
        </w:rPr>
        <w:t>rank</w:t>
      </w:r>
      <w:r>
        <w:rPr>
          <w:spacing w:val="-4"/>
          <w:sz w:val="24"/>
        </w:rPr>
        <w:t> </w:t>
      </w:r>
      <w:r>
        <w:rPr>
          <w:sz w:val="24"/>
        </w:rPr>
        <w:t>and</w:t>
      </w:r>
      <w:r>
        <w:rPr>
          <w:spacing w:val="1"/>
          <w:sz w:val="24"/>
        </w:rPr>
        <w:t> </w:t>
      </w:r>
      <w:r>
        <w:rPr>
          <w:sz w:val="24"/>
        </w:rPr>
        <w:t>academic</w:t>
      </w:r>
      <w:r>
        <w:rPr>
          <w:spacing w:val="-3"/>
          <w:sz w:val="24"/>
        </w:rPr>
        <w:t> </w:t>
      </w:r>
      <w:r>
        <w:rPr>
          <w:spacing w:val="-2"/>
          <w:sz w:val="24"/>
        </w:rPr>
        <w:t>degree.</w:t>
      </w:r>
    </w:p>
    <w:p>
      <w:pPr>
        <w:pStyle w:val="BodyText"/>
      </w:pPr>
    </w:p>
    <w:p>
      <w:pPr>
        <w:pStyle w:val="BodyText"/>
        <w:ind w:left="119" w:right="182"/>
      </w:pPr>
      <w:r>
        <w:rPr/>
        <w:t>Dissemination, community or professional service, and external recognitions are beneficial for making a case for a long-term appointment but are not required. To earn a long-term appointment, a Clinical faculty member must be making good progress toward either (a) achieving a rating of </w:t>
      </w:r>
      <w:r>
        <w:rPr>
          <w:i/>
        </w:rPr>
        <w:t>excellent </w:t>
      </w:r>
      <w:r>
        <w:rPr/>
        <w:t>in one category of evaluation (teaching or service) and a rating of at</w:t>
      </w:r>
      <w:r>
        <w:rPr>
          <w:spacing w:val="-1"/>
        </w:rPr>
        <w:t> </w:t>
      </w:r>
      <w:r>
        <w:rPr/>
        <w:t>least</w:t>
      </w:r>
      <w:r>
        <w:rPr>
          <w:spacing w:val="-1"/>
        </w:rPr>
        <w:t> </w:t>
      </w:r>
      <w:r>
        <w:rPr>
          <w:i/>
        </w:rPr>
        <w:t>satisfactory</w:t>
      </w:r>
      <w:r>
        <w:rPr>
          <w:i/>
          <w:spacing w:val="-3"/>
        </w:rPr>
        <w:t> </w:t>
      </w:r>
      <w:r>
        <w:rPr/>
        <w:t>in</w:t>
      </w:r>
      <w:r>
        <w:rPr>
          <w:spacing w:val="-4"/>
        </w:rPr>
        <w:t> </w:t>
      </w:r>
      <w:r>
        <w:rPr/>
        <w:t>the</w:t>
      </w:r>
      <w:r>
        <w:rPr>
          <w:spacing w:val="-2"/>
        </w:rPr>
        <w:t> </w:t>
      </w:r>
      <w:r>
        <w:rPr/>
        <w:t>other</w:t>
      </w:r>
      <w:r>
        <w:rPr>
          <w:spacing w:val="-4"/>
        </w:rPr>
        <w:t> </w:t>
      </w:r>
      <w:r>
        <w:rPr/>
        <w:t>category</w:t>
      </w:r>
      <w:r>
        <w:rPr>
          <w:spacing w:val="-5"/>
        </w:rPr>
        <w:t> </w:t>
      </w:r>
      <w:r>
        <w:rPr/>
        <w:t>of</w:t>
      </w:r>
      <w:r>
        <w:rPr>
          <w:spacing w:val="-3"/>
        </w:rPr>
        <w:t> </w:t>
      </w:r>
      <w:r>
        <w:rPr/>
        <w:t>evaluation;</w:t>
      </w:r>
      <w:r>
        <w:rPr>
          <w:spacing w:val="-2"/>
        </w:rPr>
        <w:t> </w:t>
      </w:r>
      <w:r>
        <w:rPr>
          <w:u w:val="single"/>
        </w:rPr>
        <w:t>or</w:t>
      </w:r>
      <w:r>
        <w:rPr>
          <w:spacing w:val="-4"/>
          <w:u w:val="single"/>
        </w:rPr>
        <w:t> </w:t>
      </w:r>
      <w:r>
        <w:rPr>
          <w:u w:val="single"/>
        </w:rPr>
        <w:t>(b)</w:t>
      </w:r>
      <w:r>
        <w:rPr>
          <w:spacing w:val="-3"/>
          <w:u w:val="single"/>
        </w:rPr>
        <w:t> </w:t>
      </w:r>
      <w:r>
        <w:rPr/>
        <w:t>demonstrating</w:t>
      </w:r>
      <w:r>
        <w:rPr>
          <w:spacing w:val="-3"/>
        </w:rPr>
        <w:t> </w:t>
      </w:r>
      <w:r>
        <w:rPr/>
        <w:t>balanced</w:t>
      </w:r>
      <w:r>
        <w:rPr>
          <w:spacing w:val="-3"/>
        </w:rPr>
        <w:t> </w:t>
      </w:r>
      <w:r>
        <w:rPr/>
        <w:t>strengths that indicate overall performance whose benefit to the University is comparable to the benefit contemplated under option (a). A Clinical faculty member has three options for the balanced case, Balanced-binned, Balanced Integrative DEI, or Balanced-Integrated.</w:t>
      </w:r>
      <w:hyperlink w:history="true" w:anchor="_bookmark4">
        <w:r>
          <w:rPr>
            <w:vertAlign w:val="superscript"/>
          </w:rPr>
          <w:t>5</w:t>
        </w:r>
      </w:hyperlink>
    </w:p>
    <w:p>
      <w:pPr>
        <w:pStyle w:val="BodyText"/>
        <w:spacing w:before="1"/>
      </w:pPr>
    </w:p>
    <w:p>
      <w:pPr>
        <w:pStyle w:val="BodyText"/>
        <w:ind w:left="120" w:right="119" w:firstLine="720"/>
      </w:pPr>
      <w:r>
        <w:rPr/>
        <w:t>Faculty candidates undergoing consideration for the non-probationary long-term appointment</w:t>
      </w:r>
      <w:r>
        <w:rPr>
          <w:spacing w:val="-1"/>
        </w:rPr>
        <w:t> </w:t>
      </w:r>
      <w:r>
        <w:rPr/>
        <w:t>shall</w:t>
      </w:r>
      <w:r>
        <w:rPr>
          <w:spacing w:val="-1"/>
        </w:rPr>
        <w:t> </w:t>
      </w:r>
      <w:r>
        <w:rPr/>
        <w:t>choose</w:t>
      </w:r>
      <w:r>
        <w:rPr>
          <w:spacing w:val="-1"/>
        </w:rPr>
        <w:t> </w:t>
      </w:r>
      <w:r>
        <w:rPr/>
        <w:t>either</w:t>
      </w:r>
      <w:r>
        <w:rPr>
          <w:spacing w:val="-4"/>
        </w:rPr>
        <w:t> </w:t>
      </w:r>
      <w:r>
        <w:rPr/>
        <w:t>option (a)</w:t>
      </w:r>
      <w:r>
        <w:rPr>
          <w:spacing w:val="-2"/>
        </w:rPr>
        <w:t> </w:t>
      </w:r>
      <w:r>
        <w:rPr/>
        <w:t>or</w:t>
      </w:r>
      <w:r>
        <w:rPr>
          <w:spacing w:val="-4"/>
        </w:rPr>
        <w:t> </w:t>
      </w:r>
      <w:r>
        <w:rPr/>
        <w:t>option (b)</w:t>
      </w:r>
      <w:r>
        <w:rPr>
          <w:spacing w:val="-2"/>
        </w:rPr>
        <w:t> </w:t>
      </w:r>
      <w:r>
        <w:rPr/>
        <w:t>as</w:t>
      </w:r>
      <w:r>
        <w:rPr>
          <w:spacing w:val="-4"/>
        </w:rPr>
        <w:t> </w:t>
      </w:r>
      <w:r>
        <w:rPr/>
        <w:t>the</w:t>
      </w:r>
      <w:r>
        <w:rPr>
          <w:spacing w:val="-3"/>
        </w:rPr>
        <w:t> </w:t>
      </w:r>
      <w:r>
        <w:rPr/>
        <w:t>basis</w:t>
      </w:r>
      <w:r>
        <w:rPr>
          <w:spacing w:val="-2"/>
        </w:rPr>
        <w:t> </w:t>
      </w:r>
      <w:r>
        <w:rPr/>
        <w:t>on</w:t>
      </w:r>
      <w:r>
        <w:rPr>
          <w:spacing w:val="-3"/>
        </w:rPr>
        <w:t> </w:t>
      </w:r>
      <w:r>
        <w:rPr/>
        <w:t>which</w:t>
      </w:r>
      <w:r>
        <w:rPr>
          <w:spacing w:val="-3"/>
        </w:rPr>
        <w:t> </w:t>
      </w:r>
      <w:r>
        <w:rPr/>
        <w:t>they</w:t>
      </w:r>
      <w:r>
        <w:rPr>
          <w:spacing w:val="-2"/>
        </w:rPr>
        <w:t> </w:t>
      </w:r>
      <w:r>
        <w:rPr/>
        <w:t>seek</w:t>
      </w:r>
      <w:r>
        <w:rPr>
          <w:spacing w:val="-3"/>
        </w:rPr>
        <w:t> </w:t>
      </w:r>
      <w:r>
        <w:rPr/>
        <w:t>the</w:t>
      </w:r>
      <w:r>
        <w:rPr>
          <w:spacing w:val="-1"/>
        </w:rPr>
        <w:t> </w:t>
      </w:r>
      <w:r>
        <w:rPr/>
        <w:t>long- term appointment (</w:t>
      </w:r>
      <w:r>
        <w:rPr>
          <w:i/>
        </w:rPr>
        <w:t>i.e</w:t>
      </w:r>
      <w:r>
        <w:rPr/>
        <w:t>., as the basis of the case). (Discussion of the review process appears in</w:t>
      </w:r>
    </w:p>
    <w:p>
      <w:pPr>
        <w:pStyle w:val="BodyText"/>
        <w:rPr>
          <w:sz w:val="13"/>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116034</wp:posOffset>
                </wp:positionV>
                <wp:extent cx="1828800"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136536pt;width:144pt;height:.599pt;mso-position-horizontal-relative:page;mso-position-vertical-relative:paragraph;z-index:-15726592;mso-wrap-distance-left:0;mso-wrap-distance-right:0" id="docshape5" filled="true" fillcolor="#000000" stroked="false">
                <v:fill type="solid"/>
                <w10:wrap type="topAndBottom"/>
              </v:rect>
            </w:pict>
          </mc:Fallback>
        </mc:AlternateContent>
      </w:r>
    </w:p>
    <w:p>
      <w:pPr>
        <w:spacing w:before="104"/>
        <w:ind w:left="120" w:right="0" w:hanging="1"/>
        <w:jc w:val="left"/>
        <w:rPr>
          <w:sz w:val="20"/>
        </w:rPr>
      </w:pPr>
      <w:bookmarkStart w:name="_bookmark4" w:id="10"/>
      <w:bookmarkEnd w:id="10"/>
      <w:r>
        <w:rPr/>
      </w:r>
      <w:r>
        <w:rPr>
          <w:sz w:val="20"/>
          <w:vertAlign w:val="superscript"/>
        </w:rPr>
        <w:t>5</w:t>
      </w:r>
      <w:r>
        <w:rPr>
          <w:sz w:val="20"/>
          <w:vertAlign w:val="baseline"/>
        </w:rPr>
        <w:t> Section IV of</w:t>
      </w:r>
      <w:r>
        <w:rPr>
          <w:spacing w:val="-1"/>
          <w:sz w:val="20"/>
          <w:vertAlign w:val="baseline"/>
        </w:rPr>
        <w:t> </w:t>
      </w:r>
      <w:r>
        <w:rPr>
          <w:sz w:val="20"/>
          <w:vertAlign w:val="baseline"/>
        </w:rPr>
        <w:t>this document contains descriptions of</w:t>
      </w:r>
      <w:r>
        <w:rPr>
          <w:spacing w:val="-1"/>
          <w:sz w:val="20"/>
          <w:vertAlign w:val="baseline"/>
        </w:rPr>
        <w:t> </w:t>
      </w:r>
      <w:r>
        <w:rPr>
          <w:sz w:val="20"/>
          <w:vertAlign w:val="baseline"/>
        </w:rPr>
        <w:t>the</w:t>
      </w:r>
      <w:r>
        <w:rPr>
          <w:spacing w:val="-1"/>
          <w:sz w:val="20"/>
          <w:vertAlign w:val="baseline"/>
        </w:rPr>
        <w:t> </w:t>
      </w:r>
      <w:r>
        <w:rPr>
          <w:sz w:val="20"/>
          <w:vertAlign w:val="baseline"/>
        </w:rPr>
        <w:t>possible</w:t>
      </w:r>
      <w:r>
        <w:rPr>
          <w:spacing w:val="-1"/>
          <w:sz w:val="20"/>
          <w:vertAlign w:val="baseline"/>
        </w:rPr>
        <w:t> </w:t>
      </w:r>
      <w:r>
        <w:rPr>
          <w:sz w:val="20"/>
          <w:vertAlign w:val="baseline"/>
        </w:rPr>
        <w:t>ratings that</w:t>
      </w:r>
      <w:r>
        <w:rPr>
          <w:spacing w:val="-2"/>
          <w:sz w:val="20"/>
          <w:vertAlign w:val="baseline"/>
        </w:rPr>
        <w:t> </w:t>
      </w:r>
      <w:r>
        <w:rPr>
          <w:sz w:val="20"/>
          <w:vertAlign w:val="baseline"/>
        </w:rPr>
        <w:t>may be</w:t>
      </w:r>
      <w:r>
        <w:rPr>
          <w:spacing w:val="-1"/>
          <w:sz w:val="20"/>
          <w:vertAlign w:val="baseline"/>
        </w:rPr>
        <w:t> </w:t>
      </w:r>
      <w:r>
        <w:rPr>
          <w:sz w:val="20"/>
          <w:vertAlign w:val="baseline"/>
        </w:rPr>
        <w:t>assigned to Clinical faculty members’</w:t>
      </w:r>
      <w:r>
        <w:rPr>
          <w:spacing w:val="-3"/>
          <w:sz w:val="20"/>
          <w:vertAlign w:val="baseline"/>
        </w:rPr>
        <w:t> </w:t>
      </w:r>
      <w:r>
        <w:rPr>
          <w:sz w:val="20"/>
          <w:vertAlign w:val="baseline"/>
        </w:rPr>
        <w:t>performance</w:t>
      </w:r>
      <w:r>
        <w:rPr>
          <w:spacing w:val="-5"/>
          <w:sz w:val="20"/>
          <w:vertAlign w:val="baseline"/>
        </w:rPr>
        <w:t> </w:t>
      </w:r>
      <w:r>
        <w:rPr>
          <w:sz w:val="20"/>
          <w:vertAlign w:val="baseline"/>
        </w:rPr>
        <w:t>in</w:t>
      </w:r>
      <w:r>
        <w:rPr>
          <w:spacing w:val="-3"/>
          <w:sz w:val="20"/>
          <w:vertAlign w:val="baseline"/>
        </w:rPr>
        <w:t> </w:t>
      </w:r>
      <w:r>
        <w:rPr>
          <w:sz w:val="20"/>
          <w:vertAlign w:val="baseline"/>
        </w:rPr>
        <w:t>teaching</w:t>
      </w:r>
      <w:r>
        <w:rPr>
          <w:spacing w:val="-4"/>
          <w:sz w:val="20"/>
          <w:vertAlign w:val="baseline"/>
        </w:rPr>
        <w:t> </w:t>
      </w:r>
      <w:r>
        <w:rPr>
          <w:sz w:val="20"/>
          <w:vertAlign w:val="baseline"/>
        </w:rPr>
        <w:t>(</w:t>
      </w:r>
      <w:r>
        <w:rPr>
          <w:i/>
          <w:sz w:val="20"/>
          <w:vertAlign w:val="baseline"/>
        </w:rPr>
        <w:t>excellent</w:t>
      </w:r>
      <w:r>
        <w:rPr>
          <w:sz w:val="20"/>
          <w:vertAlign w:val="baseline"/>
        </w:rPr>
        <w:t>,</w:t>
      </w:r>
      <w:r>
        <w:rPr>
          <w:spacing w:val="-3"/>
          <w:sz w:val="20"/>
          <w:vertAlign w:val="baseline"/>
        </w:rPr>
        <w:t> </w:t>
      </w:r>
      <w:r>
        <w:rPr>
          <w:i/>
          <w:sz w:val="20"/>
          <w:vertAlign w:val="baseline"/>
        </w:rPr>
        <w:t>highly</w:t>
      </w:r>
      <w:r>
        <w:rPr>
          <w:i/>
          <w:spacing w:val="-4"/>
          <w:sz w:val="20"/>
          <w:vertAlign w:val="baseline"/>
        </w:rPr>
        <w:t> </w:t>
      </w:r>
      <w:r>
        <w:rPr>
          <w:i/>
          <w:sz w:val="20"/>
          <w:vertAlign w:val="baseline"/>
        </w:rPr>
        <w:t>satisfactory</w:t>
      </w:r>
      <w:r>
        <w:rPr>
          <w:sz w:val="20"/>
          <w:vertAlign w:val="baseline"/>
        </w:rPr>
        <w:t>,</w:t>
      </w:r>
      <w:r>
        <w:rPr>
          <w:spacing w:val="-3"/>
          <w:sz w:val="20"/>
          <w:vertAlign w:val="baseline"/>
        </w:rPr>
        <w:t> </w:t>
      </w:r>
      <w:r>
        <w:rPr>
          <w:i/>
          <w:sz w:val="20"/>
          <w:vertAlign w:val="baseline"/>
        </w:rPr>
        <w:t>satisfactory</w:t>
      </w:r>
      <w:r>
        <w:rPr>
          <w:sz w:val="20"/>
          <w:vertAlign w:val="baseline"/>
        </w:rPr>
        <w:t>,</w:t>
      </w:r>
      <w:r>
        <w:rPr>
          <w:spacing w:val="-3"/>
          <w:sz w:val="20"/>
          <w:vertAlign w:val="baseline"/>
        </w:rPr>
        <w:t> </w:t>
      </w:r>
      <w:r>
        <w:rPr>
          <w:sz w:val="20"/>
          <w:vertAlign w:val="baseline"/>
        </w:rPr>
        <w:t>or</w:t>
      </w:r>
      <w:r>
        <w:rPr>
          <w:spacing w:val="-4"/>
          <w:sz w:val="20"/>
          <w:vertAlign w:val="baseline"/>
        </w:rPr>
        <w:t> </w:t>
      </w:r>
      <w:r>
        <w:rPr>
          <w:i/>
          <w:sz w:val="20"/>
          <w:vertAlign w:val="baseline"/>
        </w:rPr>
        <w:t>unsatisfactory</w:t>
      </w:r>
      <w:r>
        <w:rPr>
          <w:sz w:val="20"/>
          <w:vertAlign w:val="baseline"/>
        </w:rPr>
        <w:t>)</w:t>
      </w:r>
      <w:r>
        <w:rPr>
          <w:spacing w:val="-5"/>
          <w:sz w:val="20"/>
          <w:vertAlign w:val="baseline"/>
        </w:rPr>
        <w:t> </w:t>
      </w:r>
      <w:r>
        <w:rPr>
          <w:sz w:val="20"/>
          <w:vertAlign w:val="baseline"/>
        </w:rPr>
        <w:t>and</w:t>
      </w:r>
      <w:r>
        <w:rPr>
          <w:spacing w:val="-3"/>
          <w:sz w:val="20"/>
          <w:vertAlign w:val="baseline"/>
        </w:rPr>
        <w:t> </w:t>
      </w:r>
      <w:r>
        <w:rPr>
          <w:sz w:val="20"/>
          <w:vertAlign w:val="baseline"/>
        </w:rPr>
        <w:t>the</w:t>
      </w:r>
      <w:r>
        <w:rPr>
          <w:spacing w:val="-5"/>
          <w:sz w:val="20"/>
          <w:vertAlign w:val="baseline"/>
        </w:rPr>
        <w:t> </w:t>
      </w:r>
      <w:r>
        <w:rPr>
          <w:sz w:val="20"/>
          <w:vertAlign w:val="baseline"/>
        </w:rPr>
        <w:t>possible ratings that may be assigned to clinical faculty members’ performance in service (</w:t>
      </w:r>
      <w:r>
        <w:rPr>
          <w:i/>
          <w:sz w:val="20"/>
          <w:vertAlign w:val="baseline"/>
        </w:rPr>
        <w:t>excellent</w:t>
      </w:r>
      <w:r>
        <w:rPr>
          <w:sz w:val="20"/>
          <w:vertAlign w:val="baseline"/>
        </w:rPr>
        <w:t>, </w:t>
      </w:r>
      <w:r>
        <w:rPr>
          <w:i/>
          <w:sz w:val="20"/>
          <w:vertAlign w:val="baseline"/>
        </w:rPr>
        <w:t>highly satisfactory</w:t>
      </w:r>
      <w:r>
        <w:rPr>
          <w:sz w:val="20"/>
          <w:vertAlign w:val="baseline"/>
        </w:rPr>
        <w:t>, </w:t>
      </w:r>
      <w:r>
        <w:rPr>
          <w:i/>
          <w:sz w:val="20"/>
          <w:vertAlign w:val="baseline"/>
        </w:rPr>
        <w:t>satisfactory</w:t>
      </w:r>
      <w:r>
        <w:rPr>
          <w:sz w:val="20"/>
          <w:vertAlign w:val="baseline"/>
        </w:rPr>
        <w:t>, or </w:t>
      </w:r>
      <w:r>
        <w:rPr>
          <w:i/>
          <w:sz w:val="20"/>
          <w:vertAlign w:val="baseline"/>
        </w:rPr>
        <w:t>unsatisfactory</w:t>
      </w:r>
      <w:r>
        <w:rPr>
          <w:sz w:val="20"/>
          <w:vertAlign w:val="baseline"/>
        </w:rPr>
        <w:t>).</w:t>
      </w:r>
    </w:p>
    <w:p>
      <w:pPr>
        <w:spacing w:after="0"/>
        <w:jc w:val="left"/>
        <w:rPr>
          <w:sz w:val="20"/>
        </w:rPr>
        <w:sectPr>
          <w:pgSz w:w="12240" w:h="15840"/>
          <w:pgMar w:header="0" w:footer="1712" w:top="1400" w:bottom="1980" w:left="1320" w:right="1180"/>
        </w:sectPr>
      </w:pPr>
    </w:p>
    <w:p>
      <w:pPr>
        <w:pStyle w:val="BodyText"/>
        <w:spacing w:before="39"/>
        <w:ind w:left="120"/>
      </w:pPr>
      <w:r>
        <w:rPr/>
        <w:t>Section</w:t>
      </w:r>
      <w:r>
        <w:rPr>
          <w:spacing w:val="-5"/>
        </w:rPr>
        <w:t> </w:t>
      </w:r>
      <w:r>
        <w:rPr/>
        <w:t>II(C)(4),</w:t>
      </w:r>
      <w:r>
        <w:rPr>
          <w:spacing w:val="-2"/>
        </w:rPr>
        <w:t> below.)</w:t>
      </w:r>
    </w:p>
    <w:p>
      <w:pPr>
        <w:pStyle w:val="BodyText"/>
      </w:pPr>
    </w:p>
    <w:p>
      <w:pPr>
        <w:pStyle w:val="ListParagraph"/>
        <w:numPr>
          <w:ilvl w:val="0"/>
          <w:numId w:val="3"/>
        </w:numPr>
        <w:tabs>
          <w:tab w:pos="416" w:val="left" w:leader="none"/>
        </w:tabs>
        <w:spacing w:line="240" w:lineRule="auto" w:before="0" w:after="0"/>
        <w:ind w:left="120" w:right="111" w:firstLine="0"/>
        <w:jc w:val="left"/>
        <w:rPr>
          <w:sz w:val="24"/>
        </w:rPr>
      </w:pPr>
      <w:r>
        <w:rPr>
          <w:b/>
          <w:i/>
          <w:sz w:val="24"/>
        </w:rPr>
        <w:t>Long-Term Appointment Decision: Procedure. </w:t>
      </w:r>
      <w:r>
        <w:rPr>
          <w:sz w:val="24"/>
        </w:rPr>
        <w:t>The review process leading to the long-term appointment</w:t>
      </w:r>
      <w:r>
        <w:rPr>
          <w:spacing w:val="-2"/>
          <w:sz w:val="24"/>
        </w:rPr>
        <w:t> </w:t>
      </w:r>
      <w:r>
        <w:rPr>
          <w:sz w:val="24"/>
        </w:rPr>
        <w:t>decision</w:t>
      </w:r>
      <w:r>
        <w:rPr>
          <w:spacing w:val="-4"/>
          <w:sz w:val="24"/>
        </w:rPr>
        <w:t> </w:t>
      </w:r>
      <w:r>
        <w:rPr>
          <w:sz w:val="24"/>
        </w:rPr>
        <w:t>begins</w:t>
      </w:r>
      <w:r>
        <w:rPr>
          <w:spacing w:val="-3"/>
          <w:sz w:val="24"/>
        </w:rPr>
        <w:t> </w:t>
      </w:r>
      <w:r>
        <w:rPr>
          <w:sz w:val="24"/>
        </w:rPr>
        <w:t>at</w:t>
      </w:r>
      <w:r>
        <w:rPr>
          <w:spacing w:val="-4"/>
          <w:sz w:val="24"/>
        </w:rPr>
        <w:t> </w:t>
      </w:r>
      <w:r>
        <w:rPr>
          <w:sz w:val="24"/>
        </w:rPr>
        <w:t>the</w:t>
      </w:r>
      <w:r>
        <w:rPr>
          <w:spacing w:val="-4"/>
          <w:sz w:val="24"/>
        </w:rPr>
        <w:t> </w:t>
      </w:r>
      <w:r>
        <w:rPr>
          <w:sz w:val="24"/>
        </w:rPr>
        <w:t>department</w:t>
      </w:r>
      <w:r>
        <w:rPr>
          <w:spacing w:val="-4"/>
          <w:sz w:val="24"/>
        </w:rPr>
        <w:t> </w:t>
      </w:r>
      <w:r>
        <w:rPr>
          <w:sz w:val="24"/>
        </w:rPr>
        <w:t>level</w:t>
      </w:r>
      <w:r>
        <w:rPr>
          <w:spacing w:val="-2"/>
          <w:sz w:val="24"/>
        </w:rPr>
        <w:t> </w:t>
      </w:r>
      <w:r>
        <w:rPr>
          <w:sz w:val="24"/>
        </w:rPr>
        <w:t>and</w:t>
      </w:r>
      <w:r>
        <w:rPr>
          <w:spacing w:val="-1"/>
          <w:sz w:val="24"/>
        </w:rPr>
        <w:t> </w:t>
      </w:r>
      <w:r>
        <w:rPr>
          <w:sz w:val="24"/>
        </w:rPr>
        <w:t>continues</w:t>
      </w:r>
      <w:r>
        <w:rPr>
          <w:spacing w:val="-5"/>
          <w:sz w:val="24"/>
        </w:rPr>
        <w:t> </w:t>
      </w:r>
      <w:r>
        <w:rPr>
          <w:sz w:val="24"/>
        </w:rPr>
        <w:t>through</w:t>
      </w:r>
      <w:r>
        <w:rPr>
          <w:spacing w:val="-1"/>
          <w:sz w:val="24"/>
        </w:rPr>
        <w:t> </w:t>
      </w:r>
      <w:r>
        <w:rPr>
          <w:sz w:val="24"/>
        </w:rPr>
        <w:t>the</w:t>
      </w:r>
      <w:r>
        <w:rPr>
          <w:spacing w:val="-2"/>
          <w:sz w:val="24"/>
        </w:rPr>
        <w:t> </w:t>
      </w:r>
      <w:r>
        <w:rPr>
          <w:sz w:val="24"/>
        </w:rPr>
        <w:t>steps</w:t>
      </w:r>
      <w:r>
        <w:rPr>
          <w:spacing w:val="-5"/>
          <w:sz w:val="24"/>
        </w:rPr>
        <w:t> </w:t>
      </w:r>
      <w:r>
        <w:rPr>
          <w:sz w:val="24"/>
        </w:rPr>
        <w:t>outlined</w:t>
      </w:r>
      <w:r>
        <w:rPr>
          <w:spacing w:val="-4"/>
          <w:sz w:val="24"/>
        </w:rPr>
        <w:t> </w:t>
      </w:r>
      <w:r>
        <w:rPr>
          <w:sz w:val="24"/>
        </w:rPr>
        <w:t>in the following paragraphs. As noted in Section II(C)(3), the candidate chooses either (a) or (b) as the basis of the case. All evaluating parties who participate in the review process, at whatever stage, assess the candidate’s record in light of the candidate’s chosen basis of the case.</w:t>
      </w:r>
    </w:p>
    <w:p>
      <w:pPr>
        <w:pStyle w:val="BodyText"/>
        <w:spacing w:before="1"/>
      </w:pPr>
    </w:p>
    <w:p>
      <w:pPr>
        <w:pStyle w:val="BodyText"/>
        <w:ind w:left="120" w:right="118" w:firstLine="720"/>
      </w:pPr>
      <w:r>
        <w:rPr/>
        <w:t>Clinical faculty members who seek an initial non-probationary long-term appointment must prepare a dossier containing materials relevant to the determination of whether they have satisfied the necessary criteria under the chosen basis of the case. (See Section II(C)(3).) Thus, before</w:t>
      </w:r>
      <w:r>
        <w:rPr>
          <w:spacing w:val="-1"/>
        </w:rPr>
        <w:t> </w:t>
      </w:r>
      <w:r>
        <w:rPr/>
        <w:t>any</w:t>
      </w:r>
      <w:r>
        <w:rPr>
          <w:spacing w:val="-2"/>
        </w:rPr>
        <w:t> </w:t>
      </w:r>
      <w:r>
        <w:rPr/>
        <w:t>decision is</w:t>
      </w:r>
      <w:r>
        <w:rPr>
          <w:spacing w:val="-4"/>
        </w:rPr>
        <w:t> </w:t>
      </w:r>
      <w:r>
        <w:rPr/>
        <w:t>made</w:t>
      </w:r>
      <w:r>
        <w:rPr>
          <w:spacing w:val="-3"/>
        </w:rPr>
        <w:t> </w:t>
      </w:r>
      <w:r>
        <w:rPr/>
        <w:t>within</w:t>
      </w:r>
      <w:r>
        <w:rPr>
          <w:spacing w:val="-3"/>
        </w:rPr>
        <w:t> </w:t>
      </w:r>
      <w:r>
        <w:rPr/>
        <w:t>the</w:t>
      </w:r>
      <w:r>
        <w:rPr>
          <w:spacing w:val="-3"/>
        </w:rPr>
        <w:t> </w:t>
      </w:r>
      <w:r>
        <w:rPr/>
        <w:t>department</w:t>
      </w:r>
      <w:r>
        <w:rPr>
          <w:spacing w:val="-3"/>
        </w:rPr>
        <w:t> </w:t>
      </w:r>
      <w:r>
        <w:rPr/>
        <w:t>or</w:t>
      </w:r>
      <w:r>
        <w:rPr>
          <w:spacing w:val="-5"/>
        </w:rPr>
        <w:t> </w:t>
      </w:r>
      <w:r>
        <w:rPr/>
        <w:t>the</w:t>
      </w:r>
      <w:r>
        <w:rPr>
          <w:spacing w:val="-3"/>
        </w:rPr>
        <w:t> </w:t>
      </w:r>
      <w:r>
        <w:rPr/>
        <w:t>Kelley</w:t>
      </w:r>
      <w:r>
        <w:rPr>
          <w:spacing w:val="-5"/>
        </w:rPr>
        <w:t> </w:t>
      </w:r>
      <w:r>
        <w:rPr/>
        <w:t>School,</w:t>
      </w:r>
      <w:r>
        <w:rPr>
          <w:spacing w:val="-4"/>
        </w:rPr>
        <w:t> </w:t>
      </w:r>
      <w:r>
        <w:rPr/>
        <w:t>Clinical</w:t>
      </w:r>
      <w:r>
        <w:rPr>
          <w:spacing w:val="-1"/>
        </w:rPr>
        <w:t> </w:t>
      </w:r>
      <w:r>
        <w:rPr/>
        <w:t>faculty</w:t>
      </w:r>
      <w:r>
        <w:rPr>
          <w:spacing w:val="-2"/>
        </w:rPr>
        <w:t> </w:t>
      </w:r>
      <w:r>
        <w:rPr/>
        <w:t>members should be notified that they will be considered for a long-term appointment and that within a reasonable period of time, such as six weeks, they shall submit the dossier for review by the appropriate department. The dossier will also be available to, and relied on, by those who participate in later stages of the review process. The dossier should include</w:t>
      </w:r>
    </w:p>
    <w:p>
      <w:pPr>
        <w:pStyle w:val="ListParagraph"/>
        <w:numPr>
          <w:ilvl w:val="1"/>
          <w:numId w:val="3"/>
        </w:numPr>
        <w:tabs>
          <w:tab w:pos="1200" w:val="left" w:leader="none"/>
        </w:tabs>
        <w:spacing w:line="242" w:lineRule="auto" w:before="0" w:after="0"/>
        <w:ind w:left="1200" w:right="315" w:hanging="360"/>
        <w:jc w:val="left"/>
        <w:rPr>
          <w:rFonts w:ascii="Symbol" w:hAnsi="Symbol"/>
          <w:sz w:val="24"/>
        </w:rPr>
      </w:pPr>
      <w:r>
        <w:rPr>
          <w:sz w:val="24"/>
        </w:rPr>
        <w:t>Curriculum</w:t>
      </w:r>
      <w:r>
        <w:rPr>
          <w:spacing w:val="-5"/>
          <w:sz w:val="24"/>
        </w:rPr>
        <w:t> </w:t>
      </w:r>
      <w:r>
        <w:rPr>
          <w:sz w:val="24"/>
        </w:rPr>
        <w:t>CV</w:t>
      </w:r>
      <w:r>
        <w:rPr>
          <w:spacing w:val="-2"/>
          <w:sz w:val="24"/>
        </w:rPr>
        <w:t> </w:t>
      </w:r>
      <w:r>
        <w:rPr>
          <w:sz w:val="24"/>
        </w:rPr>
        <w:t>that</w:t>
      </w:r>
      <w:r>
        <w:rPr>
          <w:spacing w:val="-1"/>
          <w:sz w:val="24"/>
        </w:rPr>
        <w:t> </w:t>
      </w:r>
      <w:r>
        <w:rPr>
          <w:sz w:val="24"/>
        </w:rPr>
        <w:t>follows</w:t>
      </w:r>
      <w:r>
        <w:rPr>
          <w:spacing w:val="-3"/>
          <w:sz w:val="24"/>
        </w:rPr>
        <w:t> </w:t>
      </w:r>
      <w:r>
        <w:rPr>
          <w:sz w:val="24"/>
        </w:rPr>
        <w:t>the</w:t>
      </w:r>
      <w:r>
        <w:rPr>
          <w:spacing w:val="-2"/>
          <w:sz w:val="24"/>
        </w:rPr>
        <w:t> </w:t>
      </w:r>
      <w:r>
        <w:rPr>
          <w:sz w:val="24"/>
        </w:rPr>
        <w:t>IUPUI</w:t>
      </w:r>
      <w:r>
        <w:rPr>
          <w:spacing w:val="-5"/>
          <w:sz w:val="24"/>
        </w:rPr>
        <w:t> </w:t>
      </w:r>
      <w:r>
        <w:rPr>
          <w:sz w:val="24"/>
        </w:rPr>
        <w:t>format</w:t>
      </w:r>
      <w:r>
        <w:rPr>
          <w:spacing w:val="-4"/>
          <w:sz w:val="24"/>
        </w:rPr>
        <w:t> </w:t>
      </w:r>
      <w:r>
        <w:rPr>
          <w:sz w:val="24"/>
        </w:rPr>
        <w:t>for</w:t>
      </w:r>
      <w:r>
        <w:rPr>
          <w:spacing w:val="-7"/>
          <w:sz w:val="24"/>
        </w:rPr>
        <w:t> </w:t>
      </w:r>
      <w:r>
        <w:rPr>
          <w:sz w:val="24"/>
        </w:rPr>
        <w:t>promotion</w:t>
      </w:r>
      <w:r>
        <w:rPr>
          <w:spacing w:val="-4"/>
          <w:sz w:val="24"/>
        </w:rPr>
        <w:t> </w:t>
      </w:r>
      <w:r>
        <w:rPr>
          <w:sz w:val="24"/>
        </w:rPr>
        <w:t>or</w:t>
      </w:r>
      <w:r>
        <w:rPr>
          <w:spacing w:val="-5"/>
          <w:sz w:val="24"/>
        </w:rPr>
        <w:t> </w:t>
      </w:r>
      <w:r>
        <w:rPr>
          <w:sz w:val="24"/>
        </w:rPr>
        <w:t>their</w:t>
      </w:r>
      <w:r>
        <w:rPr>
          <w:spacing w:val="-2"/>
          <w:sz w:val="24"/>
        </w:rPr>
        <w:t> </w:t>
      </w:r>
      <w:r>
        <w:rPr>
          <w:sz w:val="24"/>
        </w:rPr>
        <w:t>current</w:t>
      </w:r>
      <w:r>
        <w:rPr>
          <w:spacing w:val="-1"/>
          <w:sz w:val="24"/>
        </w:rPr>
        <w:t> </w:t>
      </w:r>
      <w:r>
        <w:rPr>
          <w:sz w:val="24"/>
        </w:rPr>
        <w:t>CV</w:t>
      </w:r>
      <w:r>
        <w:rPr>
          <w:spacing w:val="-4"/>
          <w:sz w:val="24"/>
        </w:rPr>
        <w:t> </w:t>
      </w:r>
      <w:r>
        <w:rPr>
          <w:sz w:val="24"/>
        </w:rPr>
        <w:t>along with copies of their DMAI during the years of probation</w:t>
      </w:r>
    </w:p>
    <w:p>
      <w:pPr>
        <w:pStyle w:val="ListParagraph"/>
        <w:numPr>
          <w:ilvl w:val="1"/>
          <w:numId w:val="3"/>
        </w:numPr>
        <w:tabs>
          <w:tab w:pos="1200" w:val="left" w:leader="none"/>
        </w:tabs>
        <w:spacing w:line="240" w:lineRule="auto" w:before="0" w:after="0"/>
        <w:ind w:left="1200" w:right="448" w:hanging="360"/>
        <w:jc w:val="left"/>
        <w:rPr>
          <w:rFonts w:ascii="Symbol" w:hAnsi="Symbol"/>
          <w:sz w:val="24"/>
        </w:rPr>
      </w:pPr>
      <w:r>
        <w:rPr>
          <w:sz w:val="24"/>
        </w:rPr>
        <w:t>Candidate</w:t>
      </w:r>
      <w:r>
        <w:rPr>
          <w:spacing w:val="-3"/>
          <w:sz w:val="24"/>
        </w:rPr>
        <w:t> </w:t>
      </w:r>
      <w:r>
        <w:rPr>
          <w:sz w:val="24"/>
        </w:rPr>
        <w:t>statement</w:t>
      </w:r>
      <w:r>
        <w:rPr>
          <w:spacing w:val="-2"/>
          <w:sz w:val="24"/>
        </w:rPr>
        <w:t> </w:t>
      </w:r>
      <w:r>
        <w:rPr>
          <w:sz w:val="24"/>
        </w:rPr>
        <w:t>in</w:t>
      </w:r>
      <w:r>
        <w:rPr>
          <w:spacing w:val="-5"/>
          <w:sz w:val="24"/>
        </w:rPr>
        <w:t> </w:t>
      </w:r>
      <w:r>
        <w:rPr>
          <w:sz w:val="24"/>
        </w:rPr>
        <w:t>which</w:t>
      </w:r>
      <w:r>
        <w:rPr>
          <w:spacing w:val="-5"/>
          <w:sz w:val="24"/>
        </w:rPr>
        <w:t> </w:t>
      </w:r>
      <w:r>
        <w:rPr>
          <w:sz w:val="24"/>
        </w:rPr>
        <w:t>the</w:t>
      </w:r>
      <w:r>
        <w:rPr>
          <w:spacing w:val="-3"/>
          <w:sz w:val="24"/>
        </w:rPr>
        <w:t> </w:t>
      </w:r>
      <w:r>
        <w:rPr>
          <w:sz w:val="24"/>
        </w:rPr>
        <w:t>candidates</w:t>
      </w:r>
      <w:r>
        <w:rPr>
          <w:spacing w:val="-6"/>
          <w:sz w:val="24"/>
        </w:rPr>
        <w:t> </w:t>
      </w:r>
      <w:r>
        <w:rPr>
          <w:sz w:val="24"/>
        </w:rPr>
        <w:t>describe</w:t>
      </w:r>
      <w:r>
        <w:rPr>
          <w:spacing w:val="-3"/>
          <w:sz w:val="24"/>
        </w:rPr>
        <w:t> </w:t>
      </w:r>
      <w:r>
        <w:rPr>
          <w:sz w:val="24"/>
        </w:rPr>
        <w:t>their</w:t>
      </w:r>
      <w:r>
        <w:rPr>
          <w:spacing w:val="-6"/>
          <w:sz w:val="24"/>
        </w:rPr>
        <w:t> </w:t>
      </w:r>
      <w:r>
        <w:rPr>
          <w:sz w:val="24"/>
        </w:rPr>
        <w:t>philosophy</w:t>
      </w:r>
      <w:r>
        <w:rPr>
          <w:spacing w:val="-4"/>
          <w:sz w:val="24"/>
        </w:rPr>
        <w:t> </w:t>
      </w:r>
      <w:r>
        <w:rPr>
          <w:sz w:val="24"/>
        </w:rPr>
        <w:t>of</w:t>
      </w:r>
      <w:r>
        <w:rPr>
          <w:spacing w:val="-2"/>
          <w:sz w:val="24"/>
        </w:rPr>
        <w:t> </w:t>
      </w:r>
      <w:r>
        <w:rPr>
          <w:sz w:val="24"/>
        </w:rPr>
        <w:t>teaching and accomplishments.</w:t>
      </w:r>
    </w:p>
    <w:p>
      <w:pPr>
        <w:pStyle w:val="ListParagraph"/>
        <w:numPr>
          <w:ilvl w:val="1"/>
          <w:numId w:val="3"/>
        </w:numPr>
        <w:tabs>
          <w:tab w:pos="1199" w:val="left" w:leader="none"/>
        </w:tabs>
        <w:spacing w:line="304" w:lineRule="exact" w:before="0" w:after="0"/>
        <w:ind w:left="1199" w:right="0" w:hanging="359"/>
        <w:jc w:val="left"/>
        <w:rPr>
          <w:rFonts w:ascii="Symbol" w:hAnsi="Symbol"/>
          <w:sz w:val="24"/>
        </w:rPr>
      </w:pPr>
      <w:r>
        <w:rPr>
          <w:sz w:val="24"/>
        </w:rPr>
        <w:t>Teaching</w:t>
      </w:r>
      <w:r>
        <w:rPr>
          <w:spacing w:val="-5"/>
          <w:sz w:val="24"/>
        </w:rPr>
        <w:t> </w:t>
      </w:r>
      <w:r>
        <w:rPr>
          <w:sz w:val="24"/>
        </w:rPr>
        <w:t>evaluation scores</w:t>
      </w:r>
      <w:r>
        <w:rPr>
          <w:spacing w:val="-3"/>
          <w:sz w:val="24"/>
        </w:rPr>
        <w:t> </w:t>
      </w:r>
      <w:r>
        <w:rPr>
          <w:sz w:val="24"/>
        </w:rPr>
        <w:t>and student</w:t>
      </w:r>
      <w:r>
        <w:rPr>
          <w:spacing w:val="-3"/>
          <w:sz w:val="24"/>
        </w:rPr>
        <w:t> </w:t>
      </w:r>
      <w:r>
        <w:rPr>
          <w:spacing w:val="-2"/>
          <w:sz w:val="24"/>
        </w:rPr>
        <w:t>comments</w:t>
      </w:r>
    </w:p>
    <w:p>
      <w:pPr>
        <w:pStyle w:val="ListParagraph"/>
        <w:numPr>
          <w:ilvl w:val="1"/>
          <w:numId w:val="3"/>
        </w:numPr>
        <w:tabs>
          <w:tab w:pos="1199" w:val="left" w:leader="none"/>
        </w:tabs>
        <w:spacing w:line="305" w:lineRule="exact" w:before="0" w:after="0"/>
        <w:ind w:left="1199" w:right="0" w:hanging="359"/>
        <w:jc w:val="left"/>
        <w:rPr>
          <w:rFonts w:ascii="Symbol" w:hAnsi="Symbol"/>
          <w:sz w:val="24"/>
        </w:rPr>
      </w:pPr>
      <w:r>
        <w:rPr>
          <w:sz w:val="24"/>
        </w:rPr>
        <w:t>Syllabi</w:t>
      </w:r>
      <w:r>
        <w:rPr>
          <w:spacing w:val="-1"/>
          <w:sz w:val="24"/>
        </w:rPr>
        <w:t> </w:t>
      </w:r>
      <w:r>
        <w:rPr>
          <w:sz w:val="24"/>
        </w:rPr>
        <w:t>from</w:t>
      </w:r>
      <w:r>
        <w:rPr>
          <w:spacing w:val="-2"/>
          <w:sz w:val="24"/>
        </w:rPr>
        <w:t> </w:t>
      </w:r>
      <w:r>
        <w:rPr>
          <w:sz w:val="24"/>
        </w:rPr>
        <w:t>the</w:t>
      </w:r>
      <w:r>
        <w:rPr>
          <w:spacing w:val="-2"/>
          <w:sz w:val="24"/>
        </w:rPr>
        <w:t> </w:t>
      </w:r>
      <w:r>
        <w:rPr>
          <w:sz w:val="24"/>
        </w:rPr>
        <w:t>prior</w:t>
      </w:r>
      <w:r>
        <w:rPr>
          <w:spacing w:val="-3"/>
          <w:sz w:val="24"/>
        </w:rPr>
        <w:t> </w:t>
      </w:r>
      <w:r>
        <w:rPr>
          <w:sz w:val="24"/>
        </w:rPr>
        <w:t>or</w:t>
      </w:r>
      <w:r>
        <w:rPr>
          <w:spacing w:val="-3"/>
          <w:sz w:val="24"/>
        </w:rPr>
        <w:t> </w:t>
      </w:r>
      <w:r>
        <w:rPr>
          <w:sz w:val="24"/>
        </w:rPr>
        <w:t>current</w:t>
      </w:r>
      <w:r>
        <w:rPr>
          <w:spacing w:val="1"/>
          <w:sz w:val="24"/>
        </w:rPr>
        <w:t> </w:t>
      </w:r>
      <w:r>
        <w:rPr>
          <w:sz w:val="24"/>
        </w:rPr>
        <w:t>academic</w:t>
      </w:r>
      <w:r>
        <w:rPr>
          <w:spacing w:val="-1"/>
          <w:sz w:val="24"/>
        </w:rPr>
        <w:t> </w:t>
      </w:r>
      <w:r>
        <w:rPr>
          <w:spacing w:val="-4"/>
          <w:sz w:val="24"/>
        </w:rPr>
        <w:t>year</w:t>
      </w:r>
    </w:p>
    <w:p>
      <w:pPr>
        <w:pStyle w:val="ListParagraph"/>
        <w:numPr>
          <w:ilvl w:val="1"/>
          <w:numId w:val="3"/>
        </w:numPr>
        <w:tabs>
          <w:tab w:pos="1199" w:val="left" w:leader="none"/>
        </w:tabs>
        <w:spacing w:line="305" w:lineRule="exact" w:before="0" w:after="0"/>
        <w:ind w:left="1199" w:right="0" w:hanging="359"/>
        <w:jc w:val="left"/>
        <w:rPr>
          <w:rFonts w:ascii="Symbol" w:hAnsi="Symbol"/>
          <w:sz w:val="24"/>
        </w:rPr>
      </w:pPr>
      <w:r>
        <w:rPr>
          <w:sz w:val="24"/>
        </w:rPr>
        <w:t>A minimum</w:t>
      </w:r>
      <w:r>
        <w:rPr>
          <w:spacing w:val="-2"/>
          <w:sz w:val="24"/>
        </w:rPr>
        <w:t> </w:t>
      </w:r>
      <w:r>
        <w:rPr>
          <w:sz w:val="24"/>
        </w:rPr>
        <w:t>of</w:t>
      </w:r>
      <w:r>
        <w:rPr>
          <w:spacing w:val="-1"/>
          <w:sz w:val="24"/>
        </w:rPr>
        <w:t> </w:t>
      </w:r>
      <w:r>
        <w:rPr>
          <w:sz w:val="24"/>
        </w:rPr>
        <w:t>two</w:t>
      </w:r>
      <w:r>
        <w:rPr>
          <w:spacing w:val="-1"/>
          <w:sz w:val="24"/>
        </w:rPr>
        <w:t> </w:t>
      </w:r>
      <w:r>
        <w:rPr>
          <w:sz w:val="24"/>
        </w:rPr>
        <w:t>peer</w:t>
      </w:r>
      <w:r>
        <w:rPr>
          <w:spacing w:val="-4"/>
          <w:sz w:val="24"/>
        </w:rPr>
        <w:t> </w:t>
      </w:r>
      <w:r>
        <w:rPr>
          <w:spacing w:val="-2"/>
          <w:sz w:val="24"/>
        </w:rPr>
        <w:t>evaluations,</w:t>
      </w:r>
    </w:p>
    <w:p>
      <w:pPr>
        <w:pStyle w:val="ListParagraph"/>
        <w:numPr>
          <w:ilvl w:val="1"/>
          <w:numId w:val="3"/>
        </w:numPr>
        <w:tabs>
          <w:tab w:pos="1199" w:val="left" w:leader="none"/>
        </w:tabs>
        <w:spacing w:line="305" w:lineRule="exact" w:before="0" w:after="0"/>
        <w:ind w:left="1199" w:right="0" w:hanging="359"/>
        <w:jc w:val="left"/>
        <w:rPr>
          <w:rFonts w:ascii="Symbol" w:hAnsi="Symbol"/>
          <w:sz w:val="24"/>
        </w:rPr>
      </w:pPr>
      <w:r>
        <w:rPr>
          <w:sz w:val="24"/>
        </w:rPr>
        <w:t>Evidence</w:t>
      </w:r>
      <w:r>
        <w:rPr>
          <w:spacing w:val="-5"/>
          <w:sz w:val="24"/>
        </w:rPr>
        <w:t> </w:t>
      </w:r>
      <w:r>
        <w:rPr>
          <w:sz w:val="24"/>
        </w:rPr>
        <w:t>of</w:t>
      </w:r>
      <w:r>
        <w:rPr>
          <w:spacing w:val="-2"/>
          <w:sz w:val="24"/>
        </w:rPr>
        <w:t> </w:t>
      </w:r>
      <w:r>
        <w:rPr>
          <w:sz w:val="24"/>
        </w:rPr>
        <w:t>how</w:t>
      </w:r>
      <w:r>
        <w:rPr>
          <w:spacing w:val="-3"/>
          <w:sz w:val="24"/>
        </w:rPr>
        <w:t> </w:t>
      </w:r>
      <w:r>
        <w:rPr>
          <w:sz w:val="24"/>
        </w:rPr>
        <w:t>the</w:t>
      </w:r>
      <w:r>
        <w:rPr>
          <w:spacing w:val="-2"/>
          <w:sz w:val="24"/>
        </w:rPr>
        <w:t> </w:t>
      </w:r>
      <w:r>
        <w:rPr>
          <w:sz w:val="24"/>
        </w:rPr>
        <w:t>faculty</w:t>
      </w:r>
      <w:r>
        <w:rPr>
          <w:spacing w:val="-1"/>
          <w:sz w:val="24"/>
        </w:rPr>
        <w:t> </w:t>
      </w:r>
      <w:r>
        <w:rPr>
          <w:sz w:val="24"/>
        </w:rPr>
        <w:t>member</w:t>
      </w:r>
      <w:r>
        <w:rPr>
          <w:spacing w:val="-1"/>
          <w:sz w:val="24"/>
        </w:rPr>
        <w:t> </w:t>
      </w:r>
      <w:r>
        <w:rPr>
          <w:sz w:val="24"/>
        </w:rPr>
        <w:t>maintained</w:t>
      </w:r>
      <w:r>
        <w:rPr>
          <w:spacing w:val="-2"/>
          <w:sz w:val="24"/>
        </w:rPr>
        <w:t> </w:t>
      </w:r>
      <w:r>
        <w:rPr>
          <w:sz w:val="24"/>
        </w:rPr>
        <w:t>their</w:t>
      </w:r>
      <w:r>
        <w:rPr>
          <w:spacing w:val="-1"/>
          <w:sz w:val="24"/>
        </w:rPr>
        <w:t> </w:t>
      </w:r>
      <w:r>
        <w:rPr>
          <w:sz w:val="24"/>
        </w:rPr>
        <w:t>AACSB</w:t>
      </w:r>
      <w:r>
        <w:rPr>
          <w:spacing w:val="-2"/>
          <w:sz w:val="24"/>
        </w:rPr>
        <w:t> </w:t>
      </w:r>
      <w:r>
        <w:rPr>
          <w:sz w:val="24"/>
        </w:rPr>
        <w:t>Faculty</w:t>
      </w:r>
      <w:r>
        <w:rPr>
          <w:spacing w:val="-1"/>
          <w:sz w:val="24"/>
        </w:rPr>
        <w:t> </w:t>
      </w:r>
      <w:r>
        <w:rPr>
          <w:spacing w:val="-2"/>
          <w:sz w:val="24"/>
        </w:rPr>
        <w:t>Qualifications,</w:t>
      </w:r>
    </w:p>
    <w:p>
      <w:pPr>
        <w:pStyle w:val="ListParagraph"/>
        <w:numPr>
          <w:ilvl w:val="1"/>
          <w:numId w:val="3"/>
        </w:numPr>
        <w:tabs>
          <w:tab w:pos="1200" w:val="left" w:leader="none"/>
        </w:tabs>
        <w:spacing w:line="240" w:lineRule="auto" w:before="0" w:after="0"/>
        <w:ind w:left="1200" w:right="346" w:hanging="360"/>
        <w:jc w:val="left"/>
        <w:rPr>
          <w:rFonts w:ascii="Symbol" w:hAnsi="Symbol"/>
          <w:sz w:val="22"/>
        </w:rPr>
      </w:pPr>
      <w:r>
        <w:rPr>
          <w:sz w:val="24"/>
        </w:rPr>
        <w:t>Other</w:t>
      </w:r>
      <w:r>
        <w:rPr>
          <w:spacing w:val="-4"/>
          <w:sz w:val="24"/>
        </w:rPr>
        <w:t> </w:t>
      </w:r>
      <w:r>
        <w:rPr>
          <w:sz w:val="24"/>
        </w:rPr>
        <w:t>evidence</w:t>
      </w:r>
      <w:r>
        <w:rPr>
          <w:spacing w:val="-1"/>
          <w:sz w:val="24"/>
        </w:rPr>
        <w:t> </w:t>
      </w:r>
      <w:r>
        <w:rPr>
          <w:sz w:val="24"/>
        </w:rPr>
        <w:t>of</w:t>
      </w:r>
      <w:r>
        <w:rPr>
          <w:spacing w:val="-3"/>
          <w:sz w:val="24"/>
        </w:rPr>
        <w:t> </w:t>
      </w:r>
      <w:r>
        <w:rPr>
          <w:sz w:val="24"/>
        </w:rPr>
        <w:t>teaching</w:t>
      </w:r>
      <w:r>
        <w:rPr>
          <w:spacing w:val="-2"/>
          <w:sz w:val="24"/>
        </w:rPr>
        <w:t> </w:t>
      </w:r>
      <w:r>
        <w:rPr>
          <w:sz w:val="24"/>
        </w:rPr>
        <w:t>or</w:t>
      </w:r>
      <w:r>
        <w:rPr>
          <w:spacing w:val="-4"/>
          <w:sz w:val="24"/>
        </w:rPr>
        <w:t> </w:t>
      </w:r>
      <w:r>
        <w:rPr>
          <w:sz w:val="24"/>
        </w:rPr>
        <w:t>service</w:t>
      </w:r>
      <w:r>
        <w:rPr>
          <w:spacing w:val="-1"/>
          <w:sz w:val="24"/>
        </w:rPr>
        <w:t> </w:t>
      </w:r>
      <w:r>
        <w:rPr>
          <w:sz w:val="24"/>
        </w:rPr>
        <w:t>chosen</w:t>
      </w:r>
      <w:r>
        <w:rPr>
          <w:spacing w:val="-3"/>
          <w:sz w:val="24"/>
        </w:rPr>
        <w:t> </w:t>
      </w:r>
      <w:r>
        <w:rPr>
          <w:sz w:val="24"/>
        </w:rPr>
        <w:t>by</w:t>
      </w:r>
      <w:r>
        <w:rPr>
          <w:spacing w:val="-5"/>
          <w:sz w:val="24"/>
        </w:rPr>
        <w:t> </w:t>
      </w:r>
      <w:r>
        <w:rPr>
          <w:sz w:val="24"/>
        </w:rPr>
        <w:t>the</w:t>
      </w:r>
      <w:r>
        <w:rPr>
          <w:spacing w:val="-1"/>
          <w:sz w:val="24"/>
        </w:rPr>
        <w:t> </w:t>
      </w:r>
      <w:r>
        <w:rPr>
          <w:sz w:val="24"/>
        </w:rPr>
        <w:t>candidate</w:t>
      </w:r>
      <w:r>
        <w:rPr>
          <w:spacing w:val="-3"/>
          <w:sz w:val="24"/>
        </w:rPr>
        <w:t> </w:t>
      </w:r>
      <w:r>
        <w:rPr>
          <w:sz w:val="24"/>
        </w:rPr>
        <w:t>may</w:t>
      </w:r>
      <w:r>
        <w:rPr>
          <w:spacing w:val="-2"/>
          <w:sz w:val="24"/>
        </w:rPr>
        <w:t> </w:t>
      </w:r>
      <w:r>
        <w:rPr>
          <w:sz w:val="24"/>
        </w:rPr>
        <w:t>be</w:t>
      </w:r>
      <w:r>
        <w:rPr>
          <w:spacing w:val="-1"/>
          <w:sz w:val="24"/>
        </w:rPr>
        <w:t> </w:t>
      </w:r>
      <w:r>
        <w:rPr>
          <w:sz w:val="24"/>
        </w:rPr>
        <w:t>included,</w:t>
      </w:r>
      <w:r>
        <w:rPr>
          <w:spacing w:val="-4"/>
          <w:sz w:val="24"/>
        </w:rPr>
        <w:t> </w:t>
      </w:r>
      <w:r>
        <w:rPr>
          <w:sz w:val="24"/>
        </w:rPr>
        <w:t>but are not required.</w:t>
      </w:r>
    </w:p>
    <w:p>
      <w:pPr>
        <w:pStyle w:val="BodyText"/>
        <w:spacing w:before="290"/>
        <w:ind w:left="119" w:right="182" w:firstLine="720"/>
      </w:pPr>
      <w:r>
        <w:rPr/>
        <w:t>These dossier materials will be reviewed by the Clinical Faculty Review Committee and the</w:t>
      </w:r>
      <w:r>
        <w:rPr>
          <w:spacing w:val="-3"/>
        </w:rPr>
        <w:t> </w:t>
      </w:r>
      <w:r>
        <w:rPr/>
        <w:t>Executive</w:t>
      </w:r>
      <w:r>
        <w:rPr>
          <w:spacing w:val="-3"/>
        </w:rPr>
        <w:t> </w:t>
      </w:r>
      <w:r>
        <w:rPr/>
        <w:t>Associate</w:t>
      </w:r>
      <w:r>
        <w:rPr>
          <w:spacing w:val="-3"/>
        </w:rPr>
        <w:t> </w:t>
      </w:r>
      <w:r>
        <w:rPr/>
        <w:t>Dean,</w:t>
      </w:r>
      <w:r>
        <w:rPr>
          <w:spacing w:val="-4"/>
        </w:rPr>
        <w:t> </w:t>
      </w:r>
      <w:r>
        <w:rPr/>
        <w:t>which</w:t>
      </w:r>
      <w:r>
        <w:rPr>
          <w:spacing w:val="-3"/>
        </w:rPr>
        <w:t> </w:t>
      </w:r>
      <w:r>
        <w:rPr/>
        <w:t>will</w:t>
      </w:r>
      <w:r>
        <w:rPr>
          <w:spacing w:val="-4"/>
        </w:rPr>
        <w:t> </w:t>
      </w:r>
      <w:r>
        <w:rPr/>
        <w:t>both</w:t>
      </w:r>
      <w:r>
        <w:rPr>
          <w:spacing w:val="-3"/>
        </w:rPr>
        <w:t> </w:t>
      </w:r>
      <w:r>
        <w:rPr/>
        <w:t>provide</w:t>
      </w:r>
      <w:r>
        <w:rPr>
          <w:spacing w:val="-1"/>
        </w:rPr>
        <w:t> </w:t>
      </w:r>
      <w:r>
        <w:rPr/>
        <w:t>a</w:t>
      </w:r>
      <w:r>
        <w:rPr>
          <w:spacing w:val="-4"/>
        </w:rPr>
        <w:t> </w:t>
      </w:r>
      <w:r>
        <w:rPr/>
        <w:t>written</w:t>
      </w:r>
      <w:r>
        <w:rPr>
          <w:spacing w:val="-3"/>
        </w:rPr>
        <w:t> </w:t>
      </w:r>
      <w:r>
        <w:rPr/>
        <w:t>recommendation to</w:t>
      </w:r>
      <w:r>
        <w:rPr>
          <w:spacing w:val="-3"/>
        </w:rPr>
        <w:t> </w:t>
      </w:r>
      <w:r>
        <w:rPr/>
        <w:t>the</w:t>
      </w:r>
      <w:r>
        <w:rPr>
          <w:spacing w:val="-3"/>
        </w:rPr>
        <w:t> </w:t>
      </w:r>
      <w:r>
        <w:rPr/>
        <w:t>Dean</w:t>
      </w:r>
      <w:r>
        <w:rPr>
          <w:spacing w:val="-3"/>
        </w:rPr>
        <w:t> </w:t>
      </w:r>
      <w:r>
        <w:rPr/>
        <w:t>of the Kelley School of Business as to whether the candidate should be appointed to a long-term appointment. If the decision is for non-reappointment, the last year of the appointment will be the separation year.</w:t>
      </w:r>
    </w:p>
    <w:p>
      <w:pPr>
        <w:pStyle w:val="BodyText"/>
        <w:spacing w:before="292"/>
        <w:ind w:left="120" w:right="118" w:firstLine="720"/>
      </w:pPr>
      <w:r>
        <w:rPr/>
        <w:t>The Executive Associate Dean Faculty and Research on the IUPUI campus appoints a Clinical</w:t>
      </w:r>
      <w:r>
        <w:rPr>
          <w:spacing w:val="-2"/>
        </w:rPr>
        <w:t> </w:t>
      </w:r>
      <w:r>
        <w:rPr/>
        <w:t>Faculty</w:t>
      </w:r>
      <w:r>
        <w:rPr>
          <w:spacing w:val="-6"/>
        </w:rPr>
        <w:t> </w:t>
      </w:r>
      <w:r>
        <w:rPr/>
        <w:t>Review</w:t>
      </w:r>
      <w:r>
        <w:rPr>
          <w:spacing w:val="-1"/>
        </w:rPr>
        <w:t> </w:t>
      </w:r>
      <w:r>
        <w:rPr/>
        <w:t>Committee</w:t>
      </w:r>
      <w:r>
        <w:rPr>
          <w:spacing w:val="-4"/>
        </w:rPr>
        <w:t> </w:t>
      </w:r>
      <w:r>
        <w:rPr/>
        <w:t>to</w:t>
      </w:r>
      <w:r>
        <w:rPr>
          <w:spacing w:val="-4"/>
        </w:rPr>
        <w:t> </w:t>
      </w:r>
      <w:r>
        <w:rPr/>
        <w:t>review</w:t>
      </w:r>
      <w:r>
        <w:rPr>
          <w:spacing w:val="-1"/>
        </w:rPr>
        <w:t> </w:t>
      </w:r>
      <w:r>
        <w:rPr/>
        <w:t>the</w:t>
      </w:r>
      <w:r>
        <w:rPr>
          <w:spacing w:val="-7"/>
        </w:rPr>
        <w:t> </w:t>
      </w:r>
      <w:r>
        <w:rPr/>
        <w:t>materials</w:t>
      </w:r>
      <w:r>
        <w:rPr>
          <w:spacing w:val="-5"/>
        </w:rPr>
        <w:t> </w:t>
      </w:r>
      <w:r>
        <w:rPr/>
        <w:t>of</w:t>
      </w:r>
      <w:r>
        <w:rPr>
          <w:spacing w:val="-4"/>
        </w:rPr>
        <w:t> </w:t>
      </w:r>
      <w:r>
        <w:rPr/>
        <w:t>Clinical</w:t>
      </w:r>
      <w:r>
        <w:rPr>
          <w:spacing w:val="-2"/>
        </w:rPr>
        <w:t> </w:t>
      </w:r>
      <w:r>
        <w:rPr/>
        <w:t>Faculty</w:t>
      </w:r>
      <w:r>
        <w:rPr>
          <w:spacing w:val="-3"/>
        </w:rPr>
        <w:t> </w:t>
      </w:r>
      <w:r>
        <w:rPr/>
        <w:t>on</w:t>
      </w:r>
      <w:r>
        <w:rPr>
          <w:spacing w:val="-4"/>
        </w:rPr>
        <w:t> </w:t>
      </w:r>
      <w:r>
        <w:rPr/>
        <w:t>the</w:t>
      </w:r>
      <w:r>
        <w:rPr>
          <w:spacing w:val="-2"/>
        </w:rPr>
        <w:t> </w:t>
      </w:r>
      <w:r>
        <w:rPr/>
        <w:t>Indianapolis campus. As part of the evaluation, the Clinical Faculty Review Committee solicits individual comments/input (email or in person) of the tenure-track and clinical faculty members of comparable rank in the candidate’s department.</w:t>
      </w:r>
    </w:p>
    <w:p>
      <w:pPr>
        <w:pStyle w:val="BodyText"/>
        <w:spacing w:before="1"/>
      </w:pPr>
    </w:p>
    <w:p>
      <w:pPr>
        <w:pStyle w:val="ListParagraph"/>
        <w:numPr>
          <w:ilvl w:val="0"/>
          <w:numId w:val="3"/>
        </w:numPr>
        <w:tabs>
          <w:tab w:pos="1136" w:val="left" w:leader="none"/>
        </w:tabs>
        <w:spacing w:line="240" w:lineRule="auto" w:before="0" w:after="0"/>
        <w:ind w:left="120" w:right="286" w:firstLine="720"/>
        <w:jc w:val="left"/>
        <w:rPr>
          <w:sz w:val="24"/>
        </w:rPr>
      </w:pPr>
      <w:r>
        <w:rPr>
          <w:b/>
          <w:i/>
          <w:sz w:val="24"/>
        </w:rPr>
        <w:t>Renewals</w:t>
      </w:r>
      <w:r>
        <w:rPr>
          <w:b/>
          <w:i/>
          <w:spacing w:val="-5"/>
          <w:sz w:val="24"/>
        </w:rPr>
        <w:t> </w:t>
      </w:r>
      <w:r>
        <w:rPr>
          <w:b/>
          <w:i/>
          <w:sz w:val="24"/>
        </w:rPr>
        <w:t>of</w:t>
      </w:r>
      <w:r>
        <w:rPr>
          <w:b/>
          <w:i/>
          <w:spacing w:val="-3"/>
          <w:sz w:val="24"/>
        </w:rPr>
        <w:t> </w:t>
      </w:r>
      <w:r>
        <w:rPr>
          <w:b/>
          <w:i/>
          <w:sz w:val="24"/>
        </w:rPr>
        <w:t>Long-Term</w:t>
      </w:r>
      <w:r>
        <w:rPr>
          <w:b/>
          <w:i/>
          <w:spacing w:val="-4"/>
          <w:sz w:val="24"/>
        </w:rPr>
        <w:t> </w:t>
      </w:r>
      <w:r>
        <w:rPr>
          <w:b/>
          <w:i/>
          <w:sz w:val="24"/>
        </w:rPr>
        <w:t>Appointments.</w:t>
      </w:r>
      <w:r>
        <w:rPr>
          <w:b/>
          <w:i/>
          <w:spacing w:val="-3"/>
          <w:sz w:val="24"/>
        </w:rPr>
        <w:t> </w:t>
      </w:r>
      <w:r>
        <w:rPr>
          <w:sz w:val="24"/>
        </w:rPr>
        <w:t>If</w:t>
      </w:r>
      <w:r>
        <w:rPr>
          <w:spacing w:val="-2"/>
          <w:sz w:val="24"/>
        </w:rPr>
        <w:t> </w:t>
      </w:r>
      <w:r>
        <w:rPr>
          <w:sz w:val="24"/>
        </w:rPr>
        <w:t>a</w:t>
      </w:r>
      <w:r>
        <w:rPr>
          <w:spacing w:val="-5"/>
          <w:sz w:val="24"/>
        </w:rPr>
        <w:t> </w:t>
      </w:r>
      <w:r>
        <w:rPr>
          <w:sz w:val="24"/>
        </w:rPr>
        <w:t>Clinical</w:t>
      </w:r>
      <w:r>
        <w:rPr>
          <w:spacing w:val="-3"/>
          <w:sz w:val="24"/>
        </w:rPr>
        <w:t> </w:t>
      </w:r>
      <w:r>
        <w:rPr>
          <w:sz w:val="24"/>
        </w:rPr>
        <w:t>faculty</w:t>
      </w:r>
      <w:r>
        <w:rPr>
          <w:spacing w:val="-4"/>
          <w:sz w:val="24"/>
        </w:rPr>
        <w:t> </w:t>
      </w:r>
      <w:r>
        <w:rPr>
          <w:sz w:val="24"/>
        </w:rPr>
        <w:t>member</w:t>
      </w:r>
      <w:r>
        <w:rPr>
          <w:spacing w:val="-5"/>
          <w:sz w:val="24"/>
        </w:rPr>
        <w:t> </w:t>
      </w:r>
      <w:r>
        <w:rPr>
          <w:sz w:val="24"/>
        </w:rPr>
        <w:t>receives</w:t>
      </w:r>
      <w:r>
        <w:rPr>
          <w:spacing w:val="-4"/>
          <w:sz w:val="24"/>
        </w:rPr>
        <w:t> </w:t>
      </w:r>
      <w:r>
        <w:rPr>
          <w:sz w:val="24"/>
        </w:rPr>
        <w:t>an</w:t>
      </w:r>
      <w:r>
        <w:rPr>
          <w:spacing w:val="-5"/>
          <w:sz w:val="24"/>
        </w:rPr>
        <w:t> </w:t>
      </w:r>
      <w:r>
        <w:rPr>
          <w:sz w:val="24"/>
        </w:rPr>
        <w:t>initial non-probationary long-term appointment under the provisions set forth in the above subsections, the appointment is subject to renewal for either a 5-year appointment or a 3-year</w:t>
      </w:r>
    </w:p>
    <w:p>
      <w:pPr>
        <w:spacing w:after="0" w:line="240" w:lineRule="auto"/>
        <w:jc w:val="left"/>
        <w:rPr>
          <w:sz w:val="24"/>
        </w:rPr>
        <w:sectPr>
          <w:pgSz w:w="12240" w:h="15840"/>
          <w:pgMar w:header="0" w:footer="1712" w:top="1400" w:bottom="1940" w:left="1320" w:right="1180"/>
        </w:sectPr>
      </w:pPr>
    </w:p>
    <w:p>
      <w:pPr>
        <w:pStyle w:val="BodyText"/>
        <w:spacing w:before="59"/>
        <w:ind w:left="120"/>
      </w:pPr>
      <w:r>
        <w:rPr/>
        <w:t>rolling</w:t>
      </w:r>
      <w:r>
        <w:rPr>
          <w:spacing w:val="-2"/>
        </w:rPr>
        <w:t> </w:t>
      </w:r>
      <w:r>
        <w:rPr/>
        <w:t>appointment</w:t>
      </w:r>
      <w:r>
        <w:rPr>
          <w:spacing w:val="-2"/>
        </w:rPr>
        <w:t> </w:t>
      </w:r>
      <w:r>
        <w:rPr/>
        <w:t>under</w:t>
      </w:r>
      <w:r>
        <w:rPr>
          <w:spacing w:val="-1"/>
        </w:rPr>
        <w:t> </w:t>
      </w:r>
      <w:r>
        <w:rPr/>
        <w:t>the</w:t>
      </w:r>
      <w:r>
        <w:rPr>
          <w:spacing w:val="-2"/>
        </w:rPr>
        <w:t> </w:t>
      </w:r>
      <w:r>
        <w:rPr/>
        <w:t>provisions</w:t>
      </w:r>
      <w:r>
        <w:rPr>
          <w:spacing w:val="-2"/>
        </w:rPr>
        <w:t> </w:t>
      </w:r>
      <w:r>
        <w:rPr/>
        <w:t>outlined</w:t>
      </w:r>
      <w:r>
        <w:rPr>
          <w:spacing w:val="1"/>
        </w:rPr>
        <w:t> </w:t>
      </w:r>
      <w:r>
        <w:rPr/>
        <w:t>below.</w:t>
      </w:r>
      <w:hyperlink w:history="true" w:anchor="_bookmark5">
        <w:r>
          <w:rPr>
            <w:vertAlign w:val="superscript"/>
          </w:rPr>
          <w:t>6</w:t>
        </w:r>
      </w:hyperlink>
      <w:r>
        <w:rPr>
          <w:spacing w:val="-1"/>
          <w:vertAlign w:val="baseline"/>
        </w:rPr>
        <w:t> </w:t>
      </w:r>
      <w:r>
        <w:rPr>
          <w:vertAlign w:val="baseline"/>
        </w:rPr>
        <w:t>The</w:t>
      </w:r>
      <w:r>
        <w:rPr>
          <w:spacing w:val="-2"/>
          <w:vertAlign w:val="baseline"/>
        </w:rPr>
        <w:t> </w:t>
      </w:r>
      <w:r>
        <w:rPr>
          <w:vertAlign w:val="baseline"/>
        </w:rPr>
        <w:t>procedure</w:t>
      </w:r>
      <w:r>
        <w:rPr>
          <w:spacing w:val="-1"/>
          <w:vertAlign w:val="baseline"/>
        </w:rPr>
        <w:t> </w:t>
      </w:r>
      <w:r>
        <w:rPr>
          <w:vertAlign w:val="baseline"/>
        </w:rPr>
        <w:t>is</w:t>
      </w:r>
      <w:r>
        <w:rPr>
          <w:spacing w:val="-1"/>
          <w:vertAlign w:val="baseline"/>
        </w:rPr>
        <w:t> </w:t>
      </w:r>
      <w:r>
        <w:rPr>
          <w:vertAlign w:val="baseline"/>
        </w:rPr>
        <w:t>as</w:t>
      </w:r>
      <w:r>
        <w:rPr>
          <w:spacing w:val="-2"/>
          <w:vertAlign w:val="baseline"/>
        </w:rPr>
        <w:t> follows.</w:t>
      </w:r>
    </w:p>
    <w:p>
      <w:pPr>
        <w:pStyle w:val="BodyText"/>
      </w:pPr>
    </w:p>
    <w:p>
      <w:pPr>
        <w:pStyle w:val="BodyText"/>
        <w:ind w:left="119" w:right="118" w:firstLine="720"/>
      </w:pPr>
      <w:r>
        <w:rPr/>
        <w:t>During the semester prior to the last year of the long-term appointment (whether the initial non-probationary appointment or a renewal appointment), the Executive Associate Dean shall review the materials submitted as part of the annual review process.</w:t>
      </w:r>
      <w:r>
        <w:rPr>
          <w:spacing w:val="40"/>
        </w:rPr>
        <w:t> </w:t>
      </w:r>
      <w:r>
        <w:rPr/>
        <w:t>In order to justify recommending</w:t>
      </w:r>
      <w:r>
        <w:rPr>
          <w:spacing w:val="-5"/>
        </w:rPr>
        <w:t> </w:t>
      </w:r>
      <w:r>
        <w:rPr/>
        <w:t>a</w:t>
      </w:r>
      <w:r>
        <w:rPr>
          <w:spacing w:val="-2"/>
        </w:rPr>
        <w:t> </w:t>
      </w:r>
      <w:r>
        <w:rPr/>
        <w:t>clinical</w:t>
      </w:r>
      <w:r>
        <w:rPr>
          <w:spacing w:val="-7"/>
        </w:rPr>
        <w:t> </w:t>
      </w:r>
      <w:r>
        <w:rPr/>
        <w:t>faculty</w:t>
      </w:r>
      <w:r>
        <w:rPr>
          <w:spacing w:val="-6"/>
        </w:rPr>
        <w:t> </w:t>
      </w:r>
      <w:r>
        <w:rPr/>
        <w:t>member</w:t>
      </w:r>
      <w:r>
        <w:rPr>
          <w:spacing w:val="-5"/>
        </w:rPr>
        <w:t> </w:t>
      </w:r>
      <w:r>
        <w:rPr/>
        <w:t>for</w:t>
      </w:r>
      <w:r>
        <w:rPr>
          <w:spacing w:val="-2"/>
        </w:rPr>
        <w:t> </w:t>
      </w:r>
      <w:r>
        <w:rPr/>
        <w:t>a</w:t>
      </w:r>
      <w:r>
        <w:rPr>
          <w:spacing w:val="-5"/>
        </w:rPr>
        <w:t> </w:t>
      </w:r>
      <w:r>
        <w:rPr/>
        <w:t>renewal</w:t>
      </w:r>
      <w:r>
        <w:rPr>
          <w:spacing w:val="-2"/>
        </w:rPr>
        <w:t> </w:t>
      </w:r>
      <w:r>
        <w:rPr/>
        <w:t>appointment,</w:t>
      </w:r>
      <w:r>
        <w:rPr>
          <w:spacing w:val="-5"/>
        </w:rPr>
        <w:t> </w:t>
      </w:r>
      <w:r>
        <w:rPr/>
        <w:t>the</w:t>
      </w:r>
      <w:r>
        <w:rPr>
          <w:spacing w:val="-2"/>
        </w:rPr>
        <w:t> </w:t>
      </w:r>
      <w:r>
        <w:rPr/>
        <w:t>Clinical</w:t>
      </w:r>
      <w:r>
        <w:rPr>
          <w:spacing w:val="-2"/>
        </w:rPr>
        <w:t> </w:t>
      </w:r>
      <w:r>
        <w:rPr/>
        <w:t>faculty</w:t>
      </w:r>
      <w:r>
        <w:rPr>
          <w:spacing w:val="-3"/>
        </w:rPr>
        <w:t> </w:t>
      </w:r>
      <w:r>
        <w:rPr/>
        <w:t>member:</w:t>
      </w:r>
    </w:p>
    <w:p>
      <w:pPr>
        <w:pStyle w:val="BodyText"/>
        <w:ind w:left="119" w:right="119"/>
      </w:pPr>
      <w:r>
        <w:rPr/>
        <w:t>(a) should be making good progress toward excellence in one of the two areas of responsibility (teaching or service) and at least satisfactory performance in the other area; or (b) should be making good progress toward balanced case</w:t>
      </w:r>
      <w:r>
        <w:rPr>
          <w:spacing w:val="74"/>
        </w:rPr>
        <w:t> </w:t>
      </w:r>
      <w:r>
        <w:rPr/>
        <w:t>as defined in Section III(B); or (c) continuing to</w:t>
      </w:r>
      <w:r>
        <w:rPr/>
        <w:t> make strong contributions that exceed the standard of satisfactory in teaching and service as defined in Section IV. Dissemination, community or professional service, and external recognitions</w:t>
      </w:r>
      <w:r>
        <w:rPr>
          <w:spacing w:val="-2"/>
        </w:rPr>
        <w:t> </w:t>
      </w:r>
      <w:r>
        <w:rPr/>
        <w:t>are</w:t>
      </w:r>
      <w:r>
        <w:rPr>
          <w:spacing w:val="-3"/>
        </w:rPr>
        <w:t> </w:t>
      </w:r>
      <w:r>
        <w:rPr/>
        <w:t>beneficial</w:t>
      </w:r>
      <w:r>
        <w:rPr>
          <w:spacing w:val="-1"/>
        </w:rPr>
        <w:t> </w:t>
      </w:r>
      <w:r>
        <w:rPr/>
        <w:t>for</w:t>
      </w:r>
      <w:r>
        <w:rPr>
          <w:spacing w:val="-4"/>
        </w:rPr>
        <w:t> </w:t>
      </w:r>
      <w:r>
        <w:rPr/>
        <w:t>making</w:t>
      </w:r>
      <w:r>
        <w:rPr>
          <w:spacing w:val="-2"/>
        </w:rPr>
        <w:t> </w:t>
      </w:r>
      <w:r>
        <w:rPr/>
        <w:t>a</w:t>
      </w:r>
      <w:r>
        <w:rPr>
          <w:spacing w:val="-4"/>
        </w:rPr>
        <w:t> </w:t>
      </w:r>
      <w:r>
        <w:rPr/>
        <w:t>case</w:t>
      </w:r>
      <w:r>
        <w:rPr>
          <w:spacing w:val="-3"/>
        </w:rPr>
        <w:t> </w:t>
      </w:r>
      <w:r>
        <w:rPr/>
        <w:t>for</w:t>
      </w:r>
      <w:r>
        <w:rPr>
          <w:spacing w:val="-4"/>
        </w:rPr>
        <w:t> </w:t>
      </w:r>
      <w:r>
        <w:rPr/>
        <w:t>a</w:t>
      </w:r>
      <w:r>
        <w:rPr>
          <w:spacing w:val="-4"/>
        </w:rPr>
        <w:t> </w:t>
      </w:r>
      <w:r>
        <w:rPr/>
        <w:t>long-term</w:t>
      </w:r>
      <w:r>
        <w:rPr>
          <w:spacing w:val="-4"/>
        </w:rPr>
        <w:t> </w:t>
      </w:r>
      <w:r>
        <w:rPr/>
        <w:t>reappointment</w:t>
      </w:r>
      <w:r>
        <w:rPr>
          <w:spacing w:val="-3"/>
        </w:rPr>
        <w:t> </w:t>
      </w:r>
      <w:r>
        <w:rPr/>
        <w:t>but are</w:t>
      </w:r>
      <w:r>
        <w:rPr>
          <w:spacing w:val="-1"/>
        </w:rPr>
        <w:t> </w:t>
      </w:r>
      <w:r>
        <w:rPr/>
        <w:t>not</w:t>
      </w:r>
      <w:r>
        <w:rPr>
          <w:spacing w:val="-3"/>
        </w:rPr>
        <w:t> </w:t>
      </w:r>
      <w:r>
        <w:rPr/>
        <w:t>required. In addition, clinical faculty with terminal degrees (e.g., PhD, JD) must continue to maintain Scholarly Academic (SA) status. The recommendation of the Executive Associate Dean shall be reported to the Kelley Dean’s Office, which makes the final decision on whether a renewal long- term appointment should be granted.</w:t>
      </w:r>
    </w:p>
    <w:p>
      <w:pPr>
        <w:pStyle w:val="BodyText"/>
      </w:pPr>
    </w:p>
    <w:p>
      <w:pPr>
        <w:pStyle w:val="ListParagraph"/>
        <w:numPr>
          <w:ilvl w:val="0"/>
          <w:numId w:val="3"/>
        </w:numPr>
        <w:tabs>
          <w:tab w:pos="1133" w:val="left" w:leader="none"/>
        </w:tabs>
        <w:spacing w:line="240" w:lineRule="auto" w:before="0" w:after="0"/>
        <w:ind w:left="119" w:right="122" w:firstLine="720"/>
        <w:jc w:val="left"/>
        <w:rPr>
          <w:sz w:val="24"/>
        </w:rPr>
      </w:pPr>
      <w:r>
        <w:rPr>
          <w:b/>
          <w:i/>
          <w:sz w:val="24"/>
        </w:rPr>
        <w:t>Non-Renewal of Long-Term Appointments</w:t>
      </w:r>
      <w:r>
        <w:rPr>
          <w:i/>
          <w:sz w:val="24"/>
        </w:rPr>
        <w:t>.</w:t>
      </w:r>
      <w:r>
        <w:rPr>
          <w:i/>
          <w:spacing w:val="40"/>
          <w:sz w:val="24"/>
        </w:rPr>
        <w:t> </w:t>
      </w:r>
      <w:r>
        <w:rPr>
          <w:sz w:val="24"/>
        </w:rPr>
        <w:t>Non-renewal of a Clinical faculty member’s long-term appointment may be based on the faculty member’s failure to meet the requirements set forth immediately above. Factors such as funding constraints and changing programmatic needs may also lead to a non-renewal decision.</w:t>
      </w:r>
      <w:hyperlink w:history="true" w:anchor="_bookmark6">
        <w:r>
          <w:rPr>
            <w:sz w:val="24"/>
            <w:vertAlign w:val="superscript"/>
          </w:rPr>
          <w:t>7</w:t>
        </w:r>
      </w:hyperlink>
      <w:r>
        <w:rPr>
          <w:sz w:val="24"/>
          <w:vertAlign w:val="baseline"/>
        </w:rPr>
        <w:t> If the Kelley School declines to renew a Clinical faculty member’s long-term appointment, notice of non-reappointment shall be given in writing at least twelve months before the expiration of the relevant appointment. If the decision</w:t>
      </w:r>
      <w:r>
        <w:rPr>
          <w:spacing w:val="-3"/>
          <w:sz w:val="24"/>
          <w:vertAlign w:val="baseline"/>
        </w:rPr>
        <w:t> </w:t>
      </w:r>
      <w:r>
        <w:rPr>
          <w:sz w:val="24"/>
          <w:vertAlign w:val="baseline"/>
        </w:rPr>
        <w:t>is</w:t>
      </w:r>
      <w:r>
        <w:rPr>
          <w:spacing w:val="-2"/>
          <w:sz w:val="24"/>
          <w:vertAlign w:val="baseline"/>
        </w:rPr>
        <w:t> </w:t>
      </w:r>
      <w:r>
        <w:rPr>
          <w:sz w:val="24"/>
          <w:vertAlign w:val="baseline"/>
        </w:rPr>
        <w:t>for</w:t>
      </w:r>
      <w:r>
        <w:rPr>
          <w:spacing w:val="-4"/>
          <w:sz w:val="24"/>
          <w:vertAlign w:val="baseline"/>
        </w:rPr>
        <w:t> </w:t>
      </w:r>
      <w:r>
        <w:rPr>
          <w:sz w:val="24"/>
          <w:vertAlign w:val="baseline"/>
        </w:rPr>
        <w:t>non-renewal,</w:t>
      </w:r>
      <w:r>
        <w:rPr>
          <w:spacing w:val="-4"/>
          <w:sz w:val="24"/>
          <w:vertAlign w:val="baseline"/>
        </w:rPr>
        <w:t> </w:t>
      </w:r>
      <w:r>
        <w:rPr>
          <w:sz w:val="24"/>
          <w:vertAlign w:val="baseline"/>
        </w:rPr>
        <w:t>the</w:t>
      </w:r>
      <w:r>
        <w:rPr>
          <w:spacing w:val="-3"/>
          <w:sz w:val="24"/>
          <w:vertAlign w:val="baseline"/>
        </w:rPr>
        <w:t> </w:t>
      </w:r>
      <w:r>
        <w:rPr>
          <w:sz w:val="24"/>
          <w:vertAlign w:val="baseline"/>
        </w:rPr>
        <w:t>last</w:t>
      </w:r>
      <w:r>
        <w:rPr>
          <w:spacing w:val="-3"/>
          <w:sz w:val="24"/>
          <w:vertAlign w:val="baseline"/>
        </w:rPr>
        <w:t> </w:t>
      </w:r>
      <w:r>
        <w:rPr>
          <w:sz w:val="24"/>
          <w:vertAlign w:val="baseline"/>
        </w:rPr>
        <w:t>year</w:t>
      </w:r>
      <w:r>
        <w:rPr>
          <w:spacing w:val="-1"/>
          <w:sz w:val="24"/>
          <w:vertAlign w:val="baseline"/>
        </w:rPr>
        <w:t> </w:t>
      </w:r>
      <w:r>
        <w:rPr>
          <w:sz w:val="24"/>
          <w:vertAlign w:val="baseline"/>
        </w:rPr>
        <w:t>of</w:t>
      </w:r>
      <w:r>
        <w:rPr>
          <w:spacing w:val="-3"/>
          <w:sz w:val="24"/>
          <w:vertAlign w:val="baseline"/>
        </w:rPr>
        <w:t> </w:t>
      </w:r>
      <w:r>
        <w:rPr>
          <w:sz w:val="24"/>
          <w:vertAlign w:val="baseline"/>
        </w:rPr>
        <w:t>the</w:t>
      </w:r>
      <w:r>
        <w:rPr>
          <w:spacing w:val="-1"/>
          <w:sz w:val="24"/>
          <w:vertAlign w:val="baseline"/>
        </w:rPr>
        <w:t> </w:t>
      </w:r>
      <w:r>
        <w:rPr>
          <w:sz w:val="24"/>
          <w:vertAlign w:val="baseline"/>
        </w:rPr>
        <w:t>relevant</w:t>
      </w:r>
      <w:r>
        <w:rPr>
          <w:spacing w:val="-3"/>
          <w:sz w:val="24"/>
          <w:vertAlign w:val="baseline"/>
        </w:rPr>
        <w:t> </w:t>
      </w:r>
      <w:r>
        <w:rPr>
          <w:sz w:val="24"/>
          <w:vertAlign w:val="baseline"/>
        </w:rPr>
        <w:t>appointment</w:t>
      </w:r>
      <w:r>
        <w:rPr>
          <w:spacing w:val="-3"/>
          <w:sz w:val="24"/>
          <w:vertAlign w:val="baseline"/>
        </w:rPr>
        <w:t> </w:t>
      </w:r>
      <w:r>
        <w:rPr>
          <w:sz w:val="24"/>
          <w:vertAlign w:val="baseline"/>
        </w:rPr>
        <w:t>will</w:t>
      </w:r>
      <w:r>
        <w:rPr>
          <w:spacing w:val="-4"/>
          <w:sz w:val="24"/>
          <w:vertAlign w:val="baseline"/>
        </w:rPr>
        <w:t> </w:t>
      </w:r>
      <w:r>
        <w:rPr>
          <w:sz w:val="24"/>
          <w:vertAlign w:val="baseline"/>
        </w:rPr>
        <w:t>be</w:t>
      </w:r>
      <w:r>
        <w:rPr>
          <w:spacing w:val="-3"/>
          <w:sz w:val="24"/>
          <w:vertAlign w:val="baseline"/>
        </w:rPr>
        <w:t> </w:t>
      </w:r>
      <w:r>
        <w:rPr>
          <w:sz w:val="24"/>
          <w:vertAlign w:val="baseline"/>
        </w:rPr>
        <w:t>the</w:t>
      </w:r>
      <w:r>
        <w:rPr>
          <w:spacing w:val="-1"/>
          <w:sz w:val="24"/>
          <w:vertAlign w:val="baseline"/>
        </w:rPr>
        <w:t> </w:t>
      </w:r>
      <w:r>
        <w:rPr>
          <w:sz w:val="24"/>
          <w:vertAlign w:val="baseline"/>
        </w:rPr>
        <w:t>separation</w:t>
      </w:r>
      <w:r>
        <w:rPr>
          <w:spacing w:val="-3"/>
          <w:sz w:val="24"/>
          <w:vertAlign w:val="baseline"/>
        </w:rPr>
        <w:t> </w:t>
      </w:r>
      <w:r>
        <w:rPr>
          <w:sz w:val="24"/>
          <w:vertAlign w:val="baseline"/>
        </w:rPr>
        <w:t>year. Guidelines regarding non-reappointment decisions can be found in Sections 3b and 3c of University Policy ACA -22.</w:t>
      </w:r>
    </w:p>
    <w:p>
      <w:pPr>
        <w:pStyle w:val="BodyText"/>
      </w:pPr>
    </w:p>
    <w:p>
      <w:pPr>
        <w:pStyle w:val="BodyText"/>
        <w:ind w:left="119" w:right="118" w:firstLine="720"/>
      </w:pPr>
      <w:r>
        <w:rPr>
          <w:b/>
        </w:rPr>
        <w:t>Procedure.</w:t>
      </w:r>
      <w:r>
        <w:rPr>
          <w:b/>
          <w:spacing w:val="-5"/>
        </w:rPr>
        <w:t> </w:t>
      </w:r>
      <w:r>
        <w:rPr/>
        <w:t>If</w:t>
      </w:r>
      <w:r>
        <w:rPr>
          <w:spacing w:val="-4"/>
        </w:rPr>
        <w:t> </w:t>
      </w:r>
      <w:r>
        <w:rPr/>
        <w:t>the</w:t>
      </w:r>
      <w:r>
        <w:rPr>
          <w:spacing w:val="-2"/>
        </w:rPr>
        <w:t> </w:t>
      </w:r>
      <w:r>
        <w:rPr/>
        <w:t>decision</w:t>
      </w:r>
      <w:r>
        <w:rPr>
          <w:spacing w:val="-1"/>
        </w:rPr>
        <w:t> </w:t>
      </w:r>
      <w:r>
        <w:rPr/>
        <w:t>is</w:t>
      </w:r>
      <w:r>
        <w:rPr>
          <w:spacing w:val="-5"/>
        </w:rPr>
        <w:t> </w:t>
      </w:r>
      <w:r>
        <w:rPr/>
        <w:t>for</w:t>
      </w:r>
      <w:r>
        <w:rPr>
          <w:spacing w:val="-5"/>
        </w:rPr>
        <w:t> </w:t>
      </w:r>
      <w:r>
        <w:rPr/>
        <w:t>non-reappointment,</w:t>
      </w:r>
      <w:r>
        <w:rPr>
          <w:spacing w:val="-5"/>
        </w:rPr>
        <w:t> </w:t>
      </w:r>
      <w:r>
        <w:rPr/>
        <w:t>the</w:t>
      </w:r>
      <w:r>
        <w:rPr>
          <w:spacing w:val="-2"/>
        </w:rPr>
        <w:t> </w:t>
      </w:r>
      <w:r>
        <w:rPr/>
        <w:t>last</w:t>
      </w:r>
      <w:r>
        <w:rPr>
          <w:spacing w:val="-1"/>
        </w:rPr>
        <w:t> </w:t>
      </w:r>
      <w:r>
        <w:rPr/>
        <w:t>year</w:t>
      </w:r>
      <w:r>
        <w:rPr>
          <w:spacing w:val="-5"/>
        </w:rPr>
        <w:t> </w:t>
      </w:r>
      <w:r>
        <w:rPr/>
        <w:t>of</w:t>
      </w:r>
      <w:r>
        <w:rPr>
          <w:spacing w:val="-4"/>
        </w:rPr>
        <w:t> </w:t>
      </w:r>
      <w:r>
        <w:rPr/>
        <w:t>the</w:t>
      </w:r>
      <w:r>
        <w:rPr>
          <w:spacing w:val="-2"/>
        </w:rPr>
        <w:t> </w:t>
      </w:r>
      <w:r>
        <w:rPr/>
        <w:t>appointment</w:t>
      </w:r>
      <w:r>
        <w:rPr>
          <w:spacing w:val="-4"/>
        </w:rPr>
        <w:t> </w:t>
      </w:r>
      <w:r>
        <w:rPr/>
        <w:t>will be the separation year. If the Executive Associate Dean is considering non-reappointment as outlined in Section II(C)5, the Executive Associate Dean Faculty and Research may consult the Clinical Faculty Review Committee to review the materials of the faculty member. The faculty member may be asked to provide dossier materials similar to those for an initial long-term appointment. The Executive Associate Dean Faculty and Research will make a recommendation</w:t>
      </w:r>
    </w:p>
    <w:p>
      <w:pPr>
        <w:pStyle w:val="BodyText"/>
        <w:rPr>
          <w:sz w:val="20"/>
        </w:rPr>
      </w:pPr>
    </w:p>
    <w:p>
      <w:pPr>
        <w:pStyle w:val="BodyText"/>
        <w:spacing w:before="159"/>
        <w:rPr>
          <w:sz w:val="20"/>
        </w:rPr>
      </w:pPr>
      <w:r>
        <w:rPr/>
        <mc:AlternateContent>
          <mc:Choice Requires="wps">
            <w:drawing>
              <wp:anchor distT="0" distB="0" distL="0" distR="0" allowOverlap="1" layoutInCell="1" locked="0" behindDoc="1" simplePos="0" relativeHeight="487590400">
                <wp:simplePos x="0" y="0"/>
                <wp:positionH relativeFrom="page">
                  <wp:posOffset>914400</wp:posOffset>
                </wp:positionH>
                <wp:positionV relativeFrom="paragraph">
                  <wp:posOffset>271837</wp:posOffset>
                </wp:positionV>
                <wp:extent cx="1828800"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1.404531pt;width:144pt;height:.6pt;mso-position-horizontal-relative:page;mso-position-vertical-relative:paragraph;z-index:-15726080;mso-wrap-distance-left:0;mso-wrap-distance-right:0" id="docshape6" filled="true" fillcolor="#000000" stroked="false">
                <v:fill type="solid"/>
                <w10:wrap type="topAndBottom"/>
              </v:rect>
            </w:pict>
          </mc:Fallback>
        </mc:AlternateContent>
      </w:r>
    </w:p>
    <w:p>
      <w:pPr>
        <w:spacing w:before="104"/>
        <w:ind w:left="119" w:right="182" w:firstLine="0"/>
        <w:jc w:val="left"/>
        <w:rPr>
          <w:sz w:val="20"/>
        </w:rPr>
      </w:pPr>
      <w:bookmarkStart w:name="_bookmark5" w:id="11"/>
      <w:bookmarkEnd w:id="11"/>
      <w:r>
        <w:rPr/>
      </w:r>
      <w:r>
        <w:rPr>
          <w:sz w:val="20"/>
          <w:vertAlign w:val="superscript"/>
        </w:rPr>
        <w:t>6</w:t>
      </w:r>
      <w:r>
        <w:rPr>
          <w:spacing w:val="-4"/>
          <w:sz w:val="20"/>
          <w:vertAlign w:val="baseline"/>
        </w:rPr>
        <w:t> </w:t>
      </w:r>
      <w:r>
        <w:rPr>
          <w:sz w:val="20"/>
          <w:vertAlign w:val="baseline"/>
        </w:rPr>
        <w:t>During</w:t>
      </w:r>
      <w:r>
        <w:rPr>
          <w:spacing w:val="-3"/>
          <w:sz w:val="20"/>
          <w:vertAlign w:val="baseline"/>
        </w:rPr>
        <w:t> </w:t>
      </w:r>
      <w:r>
        <w:rPr>
          <w:sz w:val="20"/>
          <w:vertAlign w:val="baseline"/>
        </w:rPr>
        <w:t>the</w:t>
      </w:r>
      <w:r>
        <w:rPr>
          <w:spacing w:val="-4"/>
          <w:sz w:val="20"/>
          <w:vertAlign w:val="baseline"/>
        </w:rPr>
        <w:t> </w:t>
      </w:r>
      <w:r>
        <w:rPr>
          <w:sz w:val="20"/>
          <w:vertAlign w:val="baseline"/>
        </w:rPr>
        <w:t>period</w:t>
      </w:r>
      <w:r>
        <w:rPr>
          <w:spacing w:val="-2"/>
          <w:sz w:val="20"/>
          <w:vertAlign w:val="baseline"/>
        </w:rPr>
        <w:t> </w:t>
      </w:r>
      <w:r>
        <w:rPr>
          <w:sz w:val="20"/>
          <w:vertAlign w:val="baseline"/>
        </w:rPr>
        <w:t>governed</w:t>
      </w:r>
      <w:r>
        <w:rPr>
          <w:spacing w:val="-2"/>
          <w:sz w:val="20"/>
          <w:vertAlign w:val="baseline"/>
        </w:rPr>
        <w:t> </w:t>
      </w:r>
      <w:r>
        <w:rPr>
          <w:sz w:val="20"/>
          <w:vertAlign w:val="baseline"/>
        </w:rPr>
        <w:t>by</w:t>
      </w:r>
      <w:r>
        <w:rPr>
          <w:spacing w:val="-2"/>
          <w:sz w:val="20"/>
          <w:vertAlign w:val="baseline"/>
        </w:rPr>
        <w:t> </w:t>
      </w:r>
      <w:r>
        <w:rPr>
          <w:sz w:val="20"/>
          <w:vertAlign w:val="baseline"/>
        </w:rPr>
        <w:t>the</w:t>
      </w:r>
      <w:r>
        <w:rPr>
          <w:spacing w:val="-4"/>
          <w:sz w:val="20"/>
          <w:vertAlign w:val="baseline"/>
        </w:rPr>
        <w:t> </w:t>
      </w:r>
      <w:r>
        <w:rPr>
          <w:sz w:val="20"/>
          <w:vertAlign w:val="baseline"/>
        </w:rPr>
        <w:t>initial</w:t>
      </w:r>
      <w:r>
        <w:rPr>
          <w:spacing w:val="-3"/>
          <w:sz w:val="20"/>
          <w:vertAlign w:val="baseline"/>
        </w:rPr>
        <w:t> </w:t>
      </w:r>
      <w:r>
        <w:rPr>
          <w:sz w:val="20"/>
          <w:vertAlign w:val="baseline"/>
        </w:rPr>
        <w:t>long-term</w:t>
      </w:r>
      <w:r>
        <w:rPr>
          <w:spacing w:val="-4"/>
          <w:sz w:val="20"/>
          <w:vertAlign w:val="baseline"/>
        </w:rPr>
        <w:t> </w:t>
      </w:r>
      <w:r>
        <w:rPr>
          <w:sz w:val="20"/>
          <w:vertAlign w:val="baseline"/>
        </w:rPr>
        <w:t>contract</w:t>
      </w:r>
      <w:r>
        <w:rPr>
          <w:spacing w:val="-3"/>
          <w:sz w:val="20"/>
          <w:vertAlign w:val="baseline"/>
        </w:rPr>
        <w:t> </w:t>
      </w:r>
      <w:r>
        <w:rPr>
          <w:sz w:val="20"/>
          <w:vertAlign w:val="baseline"/>
        </w:rPr>
        <w:t>and</w:t>
      </w:r>
      <w:r>
        <w:rPr>
          <w:spacing w:val="-2"/>
          <w:sz w:val="20"/>
          <w:vertAlign w:val="baseline"/>
        </w:rPr>
        <w:t> </w:t>
      </w:r>
      <w:r>
        <w:rPr>
          <w:sz w:val="20"/>
          <w:vertAlign w:val="baseline"/>
        </w:rPr>
        <w:t>any</w:t>
      </w:r>
      <w:r>
        <w:rPr>
          <w:spacing w:val="-4"/>
          <w:sz w:val="20"/>
          <w:vertAlign w:val="baseline"/>
        </w:rPr>
        <w:t> </w:t>
      </w:r>
      <w:r>
        <w:rPr>
          <w:sz w:val="20"/>
          <w:vertAlign w:val="baseline"/>
        </w:rPr>
        <w:t>renewals</w:t>
      </w:r>
      <w:r>
        <w:rPr>
          <w:spacing w:val="-2"/>
          <w:sz w:val="20"/>
          <w:vertAlign w:val="baseline"/>
        </w:rPr>
        <w:t> </w:t>
      </w:r>
      <w:r>
        <w:rPr>
          <w:sz w:val="20"/>
          <w:vertAlign w:val="baseline"/>
        </w:rPr>
        <w:t>thereof,</w:t>
      </w:r>
      <w:r>
        <w:rPr>
          <w:spacing w:val="-2"/>
          <w:sz w:val="20"/>
          <w:vertAlign w:val="baseline"/>
        </w:rPr>
        <w:t> </w:t>
      </w:r>
      <w:r>
        <w:rPr>
          <w:sz w:val="20"/>
          <w:vertAlign w:val="baseline"/>
        </w:rPr>
        <w:t>the</w:t>
      </w:r>
      <w:r>
        <w:rPr>
          <w:spacing w:val="-4"/>
          <w:sz w:val="20"/>
          <w:vertAlign w:val="baseline"/>
        </w:rPr>
        <w:t> </w:t>
      </w:r>
      <w:r>
        <w:rPr>
          <w:sz w:val="20"/>
          <w:vertAlign w:val="baseline"/>
        </w:rPr>
        <w:t>Executive</w:t>
      </w:r>
      <w:r>
        <w:rPr>
          <w:spacing w:val="-4"/>
          <w:sz w:val="20"/>
          <w:vertAlign w:val="baseline"/>
        </w:rPr>
        <w:t> </w:t>
      </w:r>
      <w:r>
        <w:rPr>
          <w:sz w:val="20"/>
          <w:vertAlign w:val="baseline"/>
        </w:rPr>
        <w:t>Associate Dean shall continue to provide the Clinical faculty member written annual reviews that evaluate the faculty member’s performance in teaching and service during the preceding year. The annual review requirement thus applies not only during the probationary period but also during the post-probationary period.</w:t>
      </w:r>
    </w:p>
    <w:p>
      <w:pPr>
        <w:spacing w:before="1"/>
        <w:ind w:left="120" w:right="191" w:hanging="1"/>
        <w:jc w:val="left"/>
        <w:rPr>
          <w:sz w:val="20"/>
        </w:rPr>
      </w:pPr>
      <w:bookmarkStart w:name="_bookmark6" w:id="12"/>
      <w:bookmarkEnd w:id="12"/>
      <w:r>
        <w:rPr/>
      </w:r>
      <w:r>
        <w:rPr>
          <w:sz w:val="20"/>
          <w:vertAlign w:val="superscript"/>
        </w:rPr>
        <w:t>7</w:t>
      </w:r>
      <w:r>
        <w:rPr>
          <w:sz w:val="20"/>
          <w:vertAlign w:val="baseline"/>
        </w:rPr>
        <w:t> See </w:t>
      </w:r>
      <w:r>
        <w:rPr>
          <w:i/>
          <w:sz w:val="20"/>
          <w:vertAlign w:val="baseline"/>
        </w:rPr>
        <w:t>University Policy ACA-18</w:t>
      </w:r>
      <w:r>
        <w:rPr>
          <w:sz w:val="20"/>
          <w:vertAlign w:val="baseline"/>
        </w:rPr>
        <w:t>.</w:t>
      </w:r>
      <w:r>
        <w:rPr>
          <w:spacing w:val="40"/>
          <w:sz w:val="20"/>
          <w:vertAlign w:val="baseline"/>
        </w:rPr>
        <w:t> </w:t>
      </w:r>
      <w:r>
        <w:rPr>
          <w:sz w:val="20"/>
          <w:vertAlign w:val="baseline"/>
        </w:rPr>
        <w:t>According to ACA-18, a non-renewal decision may also be based on the same grounds</w:t>
      </w:r>
      <w:r>
        <w:rPr>
          <w:spacing w:val="-2"/>
          <w:sz w:val="20"/>
          <w:vertAlign w:val="baseline"/>
        </w:rPr>
        <w:t> </w:t>
      </w:r>
      <w:r>
        <w:rPr>
          <w:sz w:val="20"/>
          <w:vertAlign w:val="baseline"/>
        </w:rPr>
        <w:t>that</w:t>
      </w:r>
      <w:r>
        <w:rPr>
          <w:spacing w:val="-5"/>
          <w:sz w:val="20"/>
          <w:vertAlign w:val="baseline"/>
        </w:rPr>
        <w:t> </w:t>
      </w:r>
      <w:r>
        <w:rPr>
          <w:sz w:val="20"/>
          <w:vertAlign w:val="baseline"/>
        </w:rPr>
        <w:t>would</w:t>
      </w:r>
      <w:r>
        <w:rPr>
          <w:spacing w:val="-2"/>
          <w:sz w:val="20"/>
          <w:vertAlign w:val="baseline"/>
        </w:rPr>
        <w:t> </w:t>
      </w:r>
      <w:r>
        <w:rPr>
          <w:sz w:val="20"/>
          <w:vertAlign w:val="baseline"/>
        </w:rPr>
        <w:t>warrant</w:t>
      </w:r>
      <w:r>
        <w:rPr>
          <w:spacing w:val="-3"/>
          <w:sz w:val="20"/>
          <w:vertAlign w:val="baseline"/>
        </w:rPr>
        <w:t> </w:t>
      </w:r>
      <w:r>
        <w:rPr>
          <w:sz w:val="20"/>
          <w:vertAlign w:val="baseline"/>
        </w:rPr>
        <w:t>dismissal</w:t>
      </w:r>
      <w:r>
        <w:rPr>
          <w:spacing w:val="-3"/>
          <w:sz w:val="20"/>
          <w:vertAlign w:val="baseline"/>
        </w:rPr>
        <w:t> </w:t>
      </w:r>
      <w:r>
        <w:rPr>
          <w:sz w:val="20"/>
          <w:vertAlign w:val="baseline"/>
        </w:rPr>
        <w:t>from</w:t>
      </w:r>
      <w:r>
        <w:rPr>
          <w:spacing w:val="-4"/>
          <w:sz w:val="20"/>
          <w:vertAlign w:val="baseline"/>
        </w:rPr>
        <w:t> </w:t>
      </w:r>
      <w:r>
        <w:rPr>
          <w:sz w:val="20"/>
          <w:vertAlign w:val="baseline"/>
        </w:rPr>
        <w:t>the</w:t>
      </w:r>
      <w:r>
        <w:rPr>
          <w:spacing w:val="-4"/>
          <w:sz w:val="20"/>
          <w:vertAlign w:val="baseline"/>
        </w:rPr>
        <w:t> </w:t>
      </w:r>
      <w:r>
        <w:rPr>
          <w:sz w:val="20"/>
          <w:vertAlign w:val="baseline"/>
        </w:rPr>
        <w:t>faculty</w:t>
      </w:r>
      <w:r>
        <w:rPr>
          <w:spacing w:val="-2"/>
          <w:sz w:val="20"/>
          <w:vertAlign w:val="baseline"/>
        </w:rPr>
        <w:t> </w:t>
      </w:r>
      <w:r>
        <w:rPr>
          <w:sz w:val="20"/>
          <w:vertAlign w:val="baseline"/>
        </w:rPr>
        <w:t>during</w:t>
      </w:r>
      <w:r>
        <w:rPr>
          <w:spacing w:val="-3"/>
          <w:sz w:val="20"/>
          <w:vertAlign w:val="baseline"/>
        </w:rPr>
        <w:t> </w:t>
      </w:r>
      <w:r>
        <w:rPr>
          <w:sz w:val="20"/>
          <w:vertAlign w:val="baseline"/>
        </w:rPr>
        <w:t>the</w:t>
      </w:r>
      <w:r>
        <w:rPr>
          <w:spacing w:val="-4"/>
          <w:sz w:val="20"/>
          <w:vertAlign w:val="baseline"/>
        </w:rPr>
        <w:t> </w:t>
      </w:r>
      <w:r>
        <w:rPr>
          <w:sz w:val="20"/>
          <w:vertAlign w:val="baseline"/>
        </w:rPr>
        <w:t>period</w:t>
      </w:r>
      <w:r>
        <w:rPr>
          <w:spacing w:val="-2"/>
          <w:sz w:val="20"/>
          <w:vertAlign w:val="baseline"/>
        </w:rPr>
        <w:t> </w:t>
      </w:r>
      <w:r>
        <w:rPr>
          <w:sz w:val="20"/>
          <w:vertAlign w:val="baseline"/>
        </w:rPr>
        <w:t>of</w:t>
      </w:r>
      <w:r>
        <w:rPr>
          <w:spacing w:val="-4"/>
          <w:sz w:val="20"/>
          <w:vertAlign w:val="baseline"/>
        </w:rPr>
        <w:t> </w:t>
      </w:r>
      <w:r>
        <w:rPr>
          <w:sz w:val="20"/>
          <w:vertAlign w:val="baseline"/>
        </w:rPr>
        <w:t>an</w:t>
      </w:r>
      <w:r>
        <w:rPr>
          <w:spacing w:val="-2"/>
          <w:sz w:val="20"/>
          <w:vertAlign w:val="baseline"/>
        </w:rPr>
        <w:t> </w:t>
      </w:r>
      <w:r>
        <w:rPr>
          <w:sz w:val="20"/>
          <w:vertAlign w:val="baseline"/>
        </w:rPr>
        <w:t>unexpired</w:t>
      </w:r>
      <w:r>
        <w:rPr>
          <w:spacing w:val="-2"/>
          <w:sz w:val="20"/>
          <w:vertAlign w:val="baseline"/>
        </w:rPr>
        <w:t> </w:t>
      </w:r>
      <w:r>
        <w:rPr>
          <w:sz w:val="20"/>
          <w:vertAlign w:val="baseline"/>
        </w:rPr>
        <w:t>long-term</w:t>
      </w:r>
      <w:r>
        <w:rPr>
          <w:spacing w:val="-1"/>
          <w:sz w:val="20"/>
          <w:vertAlign w:val="baseline"/>
        </w:rPr>
        <w:t> </w:t>
      </w:r>
      <w:r>
        <w:rPr>
          <w:sz w:val="20"/>
          <w:vertAlign w:val="baseline"/>
        </w:rPr>
        <w:t>contract.</w:t>
      </w:r>
      <w:r>
        <w:rPr>
          <w:spacing w:val="-3"/>
          <w:sz w:val="20"/>
          <w:vertAlign w:val="baseline"/>
        </w:rPr>
        <w:t> </w:t>
      </w:r>
      <w:r>
        <w:rPr>
          <w:sz w:val="20"/>
          <w:vertAlign w:val="baseline"/>
        </w:rPr>
        <w:t>See Section II(C)(7), below.</w:t>
      </w:r>
    </w:p>
    <w:p>
      <w:pPr>
        <w:spacing w:after="0"/>
        <w:jc w:val="left"/>
        <w:rPr>
          <w:sz w:val="20"/>
        </w:rPr>
        <w:sectPr>
          <w:pgSz w:w="12240" w:h="15840"/>
          <w:pgMar w:header="0" w:footer="1712" w:top="1380" w:bottom="1980" w:left="1320" w:right="1180"/>
        </w:sectPr>
      </w:pPr>
    </w:p>
    <w:p>
      <w:pPr>
        <w:pStyle w:val="BodyText"/>
        <w:spacing w:before="39"/>
        <w:ind w:left="120"/>
      </w:pPr>
      <w:r>
        <w:rPr/>
        <w:t>to</w:t>
      </w:r>
      <w:r>
        <w:rPr>
          <w:spacing w:val="-3"/>
        </w:rPr>
        <w:t> </w:t>
      </w:r>
      <w:r>
        <w:rPr/>
        <w:t>the</w:t>
      </w:r>
      <w:r>
        <w:rPr>
          <w:spacing w:val="-3"/>
        </w:rPr>
        <w:t> </w:t>
      </w:r>
      <w:r>
        <w:rPr/>
        <w:t>Dean</w:t>
      </w:r>
      <w:r>
        <w:rPr>
          <w:spacing w:val="-3"/>
        </w:rPr>
        <w:t> </w:t>
      </w:r>
      <w:r>
        <w:rPr/>
        <w:t>regarding</w:t>
      </w:r>
      <w:r>
        <w:rPr>
          <w:spacing w:val="-4"/>
        </w:rPr>
        <w:t> </w:t>
      </w:r>
      <w:r>
        <w:rPr/>
        <w:t>whether</w:t>
      </w:r>
      <w:r>
        <w:rPr>
          <w:spacing w:val="-4"/>
        </w:rPr>
        <w:t> </w:t>
      </w:r>
      <w:r>
        <w:rPr/>
        <w:t>the</w:t>
      </w:r>
      <w:r>
        <w:rPr>
          <w:spacing w:val="-1"/>
        </w:rPr>
        <w:t> </w:t>
      </w:r>
      <w:r>
        <w:rPr/>
        <w:t>faculty</w:t>
      </w:r>
      <w:r>
        <w:rPr>
          <w:spacing w:val="-5"/>
        </w:rPr>
        <w:t> </w:t>
      </w:r>
      <w:r>
        <w:rPr/>
        <w:t>member</w:t>
      </w:r>
      <w:r>
        <w:rPr>
          <w:spacing w:val="-1"/>
        </w:rPr>
        <w:t> </w:t>
      </w:r>
      <w:r>
        <w:rPr/>
        <w:t>should</w:t>
      </w:r>
      <w:r>
        <w:rPr>
          <w:spacing w:val="-3"/>
        </w:rPr>
        <w:t> </w:t>
      </w:r>
      <w:r>
        <w:rPr/>
        <w:t>be</w:t>
      </w:r>
      <w:r>
        <w:rPr>
          <w:spacing w:val="-4"/>
        </w:rPr>
        <w:t> </w:t>
      </w:r>
      <w:r>
        <w:rPr/>
        <w:t>reappointed for</w:t>
      </w:r>
      <w:r>
        <w:rPr>
          <w:spacing w:val="-1"/>
        </w:rPr>
        <w:t> </w:t>
      </w:r>
      <w:r>
        <w:rPr/>
        <w:t>another</w:t>
      </w:r>
      <w:r>
        <w:rPr>
          <w:spacing w:val="-4"/>
        </w:rPr>
        <w:t> </w:t>
      </w:r>
      <w:r>
        <w:rPr/>
        <w:t>multiyear </w:t>
      </w:r>
      <w:r>
        <w:rPr>
          <w:spacing w:val="-2"/>
        </w:rPr>
        <w:t>appointment.</w:t>
      </w:r>
    </w:p>
    <w:p>
      <w:pPr>
        <w:pStyle w:val="ListParagraph"/>
        <w:numPr>
          <w:ilvl w:val="0"/>
          <w:numId w:val="3"/>
        </w:numPr>
        <w:tabs>
          <w:tab w:pos="1135" w:val="left" w:leader="none"/>
        </w:tabs>
        <w:spacing w:line="240" w:lineRule="auto" w:before="293" w:after="0"/>
        <w:ind w:left="119" w:right="769" w:firstLine="720"/>
        <w:jc w:val="left"/>
        <w:rPr>
          <w:sz w:val="24"/>
        </w:rPr>
      </w:pPr>
      <w:r>
        <w:rPr>
          <w:b/>
          <w:i/>
          <w:sz w:val="24"/>
        </w:rPr>
        <w:t>Dismissal.</w:t>
      </w:r>
      <w:r>
        <w:rPr>
          <w:b/>
          <w:i/>
          <w:spacing w:val="40"/>
          <w:sz w:val="24"/>
        </w:rPr>
        <w:t> </w:t>
      </w:r>
      <w:r>
        <w:rPr>
          <w:sz w:val="24"/>
        </w:rPr>
        <w:t>Dismissal</w:t>
      </w:r>
      <w:r>
        <w:rPr>
          <w:spacing w:val="-1"/>
          <w:sz w:val="24"/>
        </w:rPr>
        <w:t> </w:t>
      </w:r>
      <w:r>
        <w:rPr>
          <w:sz w:val="24"/>
        </w:rPr>
        <w:t>of a</w:t>
      </w:r>
      <w:r>
        <w:rPr>
          <w:spacing w:val="-1"/>
          <w:sz w:val="24"/>
        </w:rPr>
        <w:t> </w:t>
      </w:r>
      <w:r>
        <w:rPr>
          <w:sz w:val="24"/>
        </w:rPr>
        <w:t>clinical</w:t>
      </w:r>
      <w:r>
        <w:rPr>
          <w:spacing w:val="-1"/>
          <w:sz w:val="24"/>
        </w:rPr>
        <w:t> </w:t>
      </w:r>
      <w:r>
        <w:rPr>
          <w:sz w:val="24"/>
        </w:rPr>
        <w:t>faculty</w:t>
      </w:r>
      <w:r>
        <w:rPr>
          <w:spacing w:val="-2"/>
          <w:sz w:val="24"/>
        </w:rPr>
        <w:t> </w:t>
      </w:r>
      <w:r>
        <w:rPr>
          <w:sz w:val="24"/>
        </w:rPr>
        <w:t>member</w:t>
      </w:r>
      <w:r>
        <w:rPr>
          <w:spacing w:val="-1"/>
          <w:sz w:val="24"/>
        </w:rPr>
        <w:t> </w:t>
      </w:r>
      <w:r>
        <w:rPr>
          <w:sz w:val="24"/>
        </w:rPr>
        <w:t>prior</w:t>
      </w:r>
      <w:r>
        <w:rPr>
          <w:spacing w:val="-1"/>
          <w:sz w:val="24"/>
        </w:rPr>
        <w:t> </w:t>
      </w:r>
      <w:r>
        <w:rPr>
          <w:sz w:val="24"/>
        </w:rPr>
        <w:t>to the end of a</w:t>
      </w:r>
      <w:r>
        <w:rPr>
          <w:spacing w:val="-3"/>
          <w:sz w:val="24"/>
        </w:rPr>
        <w:t> </w:t>
      </w:r>
      <w:r>
        <w:rPr>
          <w:sz w:val="24"/>
        </w:rPr>
        <w:t>long-term appointment (whether an initial appointment or a renewal appointment) can be found in </w:t>
      </w:r>
      <w:r>
        <w:rPr>
          <w:i/>
          <w:sz w:val="24"/>
        </w:rPr>
        <w:t>University</w:t>
      </w:r>
      <w:r>
        <w:rPr>
          <w:i/>
          <w:spacing w:val="-2"/>
          <w:sz w:val="24"/>
        </w:rPr>
        <w:t> </w:t>
      </w:r>
      <w:r>
        <w:rPr>
          <w:i/>
          <w:sz w:val="24"/>
        </w:rPr>
        <w:t>Policy</w:t>
      </w:r>
      <w:r>
        <w:rPr>
          <w:i/>
          <w:spacing w:val="-3"/>
          <w:sz w:val="24"/>
        </w:rPr>
        <w:t> </w:t>
      </w:r>
      <w:r>
        <w:rPr>
          <w:i/>
          <w:sz w:val="24"/>
        </w:rPr>
        <w:t>ACA-18.</w:t>
      </w:r>
      <w:r>
        <w:rPr>
          <w:i/>
          <w:spacing w:val="-5"/>
          <w:sz w:val="24"/>
        </w:rPr>
        <w:t> </w:t>
      </w:r>
      <w:r>
        <w:rPr>
          <w:sz w:val="24"/>
        </w:rPr>
        <w:t>Procedures</w:t>
      </w:r>
      <w:r>
        <w:rPr>
          <w:spacing w:val="-5"/>
          <w:sz w:val="24"/>
        </w:rPr>
        <w:t> </w:t>
      </w:r>
      <w:r>
        <w:rPr>
          <w:sz w:val="24"/>
        </w:rPr>
        <w:t>for</w:t>
      </w:r>
      <w:r>
        <w:rPr>
          <w:spacing w:val="-2"/>
          <w:sz w:val="24"/>
        </w:rPr>
        <w:t> </w:t>
      </w:r>
      <w:r>
        <w:rPr>
          <w:sz w:val="24"/>
        </w:rPr>
        <w:t>dismissal</w:t>
      </w:r>
      <w:r>
        <w:rPr>
          <w:spacing w:val="-5"/>
          <w:sz w:val="24"/>
        </w:rPr>
        <w:t> </w:t>
      </w:r>
      <w:r>
        <w:rPr>
          <w:sz w:val="24"/>
        </w:rPr>
        <w:t>are</w:t>
      </w:r>
      <w:r>
        <w:rPr>
          <w:spacing w:val="-2"/>
          <w:sz w:val="24"/>
        </w:rPr>
        <w:t> </w:t>
      </w:r>
      <w:r>
        <w:rPr>
          <w:sz w:val="24"/>
        </w:rPr>
        <w:t>similar</w:t>
      </w:r>
      <w:r>
        <w:rPr>
          <w:spacing w:val="-3"/>
          <w:sz w:val="24"/>
        </w:rPr>
        <w:t> </w:t>
      </w:r>
      <w:r>
        <w:rPr>
          <w:sz w:val="24"/>
        </w:rPr>
        <w:t>for</w:t>
      </w:r>
      <w:r>
        <w:rPr>
          <w:spacing w:val="-5"/>
          <w:sz w:val="24"/>
        </w:rPr>
        <w:t> </w:t>
      </w:r>
      <w:r>
        <w:rPr>
          <w:sz w:val="24"/>
        </w:rPr>
        <w:t>non-renewal</w:t>
      </w:r>
      <w:r>
        <w:rPr>
          <w:spacing w:val="-2"/>
          <w:sz w:val="24"/>
        </w:rPr>
        <w:t> </w:t>
      </w:r>
      <w:r>
        <w:rPr>
          <w:sz w:val="24"/>
        </w:rPr>
        <w:t>of</w:t>
      </w:r>
      <w:r>
        <w:rPr>
          <w:spacing w:val="-2"/>
          <w:sz w:val="24"/>
        </w:rPr>
        <w:t> </w:t>
      </w:r>
      <w:r>
        <w:rPr>
          <w:sz w:val="24"/>
        </w:rPr>
        <w:t>long-term appointments described in Section II(C)6.</w:t>
      </w:r>
    </w:p>
    <w:p>
      <w:pPr>
        <w:pStyle w:val="BodyText"/>
        <w:spacing w:before="1"/>
      </w:pPr>
    </w:p>
    <w:p>
      <w:pPr>
        <w:pStyle w:val="BodyText"/>
        <w:ind w:left="120" w:right="119" w:firstLine="720"/>
      </w:pPr>
      <w:r>
        <w:rPr>
          <w:b/>
        </w:rPr>
        <w:t>Discharge</w:t>
      </w:r>
      <w:r>
        <w:rPr>
          <w:b/>
          <w:spacing w:val="-3"/>
        </w:rPr>
        <w:t> </w:t>
      </w:r>
      <w:r>
        <w:rPr>
          <w:b/>
        </w:rPr>
        <w:t>for</w:t>
      </w:r>
      <w:r>
        <w:rPr>
          <w:b/>
          <w:spacing w:val="-1"/>
        </w:rPr>
        <w:t> </w:t>
      </w:r>
      <w:r>
        <w:rPr>
          <w:b/>
        </w:rPr>
        <w:t>Cause:</w:t>
      </w:r>
      <w:r>
        <w:rPr>
          <w:b/>
          <w:spacing w:val="40"/>
        </w:rPr>
        <w:t> </w:t>
      </w:r>
      <w:r>
        <w:rPr/>
        <w:t>As</w:t>
      </w:r>
      <w:r>
        <w:rPr>
          <w:spacing w:val="-8"/>
        </w:rPr>
        <w:t> </w:t>
      </w:r>
      <w:r>
        <w:rPr/>
        <w:t>explained</w:t>
      </w:r>
      <w:r>
        <w:rPr>
          <w:spacing w:val="-4"/>
        </w:rPr>
        <w:t> </w:t>
      </w:r>
      <w:r>
        <w:rPr/>
        <w:t>further</w:t>
      </w:r>
      <w:r>
        <w:rPr>
          <w:spacing w:val="-3"/>
        </w:rPr>
        <w:t> </w:t>
      </w:r>
      <w:r>
        <w:rPr/>
        <w:t>in</w:t>
      </w:r>
      <w:r>
        <w:rPr>
          <w:spacing w:val="-4"/>
        </w:rPr>
        <w:t> </w:t>
      </w:r>
      <w:r>
        <w:rPr/>
        <w:t>University</w:t>
      </w:r>
      <w:r>
        <w:rPr>
          <w:spacing w:val="-3"/>
        </w:rPr>
        <w:t> </w:t>
      </w:r>
      <w:r>
        <w:rPr/>
        <w:t>Policy</w:t>
      </w:r>
      <w:r>
        <w:rPr>
          <w:spacing w:val="-3"/>
        </w:rPr>
        <w:t> </w:t>
      </w:r>
      <w:r>
        <w:rPr/>
        <w:t>ACA</w:t>
      </w:r>
      <w:r>
        <w:rPr>
          <w:spacing w:val="-2"/>
        </w:rPr>
        <w:t> </w:t>
      </w:r>
      <w:r>
        <w:rPr/>
        <w:t>52</w:t>
      </w:r>
      <w:r>
        <w:rPr>
          <w:spacing w:val="-5"/>
        </w:rPr>
        <w:t> </w:t>
      </w:r>
      <w:r>
        <w:rPr/>
        <w:t>dismissal</w:t>
      </w:r>
      <w:r>
        <w:rPr>
          <w:spacing w:val="-2"/>
        </w:rPr>
        <w:t> </w:t>
      </w:r>
      <w:r>
        <w:rPr/>
        <w:t>may</w:t>
      </w:r>
      <w:r>
        <w:rPr>
          <w:spacing w:val="-3"/>
        </w:rPr>
        <w:t> </w:t>
      </w:r>
      <w:r>
        <w:rPr/>
        <w:t>occur “for reason of (a) incompetence, (b) serious personal or professional misconduct, or (c) extraordinary financial exigencies of the University.”</w:t>
      </w:r>
    </w:p>
    <w:p>
      <w:pPr>
        <w:pStyle w:val="Heading1"/>
        <w:numPr>
          <w:ilvl w:val="0"/>
          <w:numId w:val="1"/>
        </w:numPr>
        <w:tabs>
          <w:tab w:pos="484" w:val="left" w:leader="none"/>
        </w:tabs>
        <w:spacing w:line="240" w:lineRule="auto" w:before="240" w:after="0"/>
        <w:ind w:left="484" w:right="0" w:hanging="364"/>
        <w:jc w:val="left"/>
      </w:pPr>
      <w:bookmarkStart w:name="III.  PROMOTIONS IN RANK" w:id="13"/>
      <w:bookmarkEnd w:id="13"/>
      <w:r>
        <w:rPr>
          <w:b w:val="0"/>
        </w:rPr>
      </w:r>
      <w:r>
        <w:rPr/>
        <w:t>PROMOTIONS</w:t>
      </w:r>
      <w:r>
        <w:rPr>
          <w:spacing w:val="-8"/>
        </w:rPr>
        <w:t> </w:t>
      </w:r>
      <w:r>
        <w:rPr/>
        <w:t>IN</w:t>
      </w:r>
      <w:r>
        <w:rPr>
          <w:spacing w:val="-1"/>
        </w:rPr>
        <w:t> </w:t>
      </w:r>
      <w:r>
        <w:rPr>
          <w:spacing w:val="-4"/>
        </w:rPr>
        <w:t>RANK</w:t>
      </w:r>
    </w:p>
    <w:p>
      <w:pPr>
        <w:pStyle w:val="BodyText"/>
        <w:spacing w:before="292"/>
        <w:ind w:left="840"/>
      </w:pPr>
      <w:r>
        <w:rPr/>
        <w:t>This</w:t>
      </w:r>
      <w:r>
        <w:rPr>
          <w:spacing w:val="-3"/>
        </w:rPr>
        <w:t> </w:t>
      </w:r>
      <w:r>
        <w:rPr/>
        <w:t>section</w:t>
      </w:r>
      <w:r>
        <w:rPr>
          <w:spacing w:val="-3"/>
        </w:rPr>
        <w:t> </w:t>
      </w:r>
      <w:r>
        <w:rPr/>
        <w:t>outlines</w:t>
      </w:r>
      <w:r>
        <w:rPr>
          <w:spacing w:val="-2"/>
        </w:rPr>
        <w:t> </w:t>
      </w:r>
      <w:r>
        <w:rPr/>
        <w:t>policies</w:t>
      </w:r>
      <w:r>
        <w:rPr>
          <w:spacing w:val="-2"/>
        </w:rPr>
        <w:t> </w:t>
      </w:r>
      <w:r>
        <w:rPr/>
        <w:t>dealing</w:t>
      </w:r>
      <w:r>
        <w:rPr>
          <w:spacing w:val="-2"/>
        </w:rPr>
        <w:t> </w:t>
      </w:r>
      <w:r>
        <w:rPr/>
        <w:t>with</w:t>
      </w:r>
      <w:r>
        <w:rPr>
          <w:spacing w:val="-3"/>
        </w:rPr>
        <w:t> </w:t>
      </w:r>
      <w:r>
        <w:rPr/>
        <w:t>promotions</w:t>
      </w:r>
      <w:r>
        <w:rPr>
          <w:spacing w:val="-2"/>
        </w:rPr>
        <w:t> </w:t>
      </w:r>
      <w:r>
        <w:rPr/>
        <w:t>in rank</w:t>
      </w:r>
      <w:r>
        <w:rPr>
          <w:spacing w:val="-3"/>
        </w:rPr>
        <w:t> </w:t>
      </w:r>
      <w:r>
        <w:rPr/>
        <w:t>for</w:t>
      </w:r>
      <w:r>
        <w:rPr>
          <w:spacing w:val="-4"/>
        </w:rPr>
        <w:t> </w:t>
      </w:r>
      <w:r>
        <w:rPr/>
        <w:t>Clinical</w:t>
      </w:r>
      <w:r>
        <w:rPr>
          <w:spacing w:val="-4"/>
        </w:rPr>
        <w:t> </w:t>
      </w:r>
      <w:r>
        <w:rPr/>
        <w:t>faculty</w:t>
      </w:r>
      <w:r>
        <w:rPr>
          <w:spacing w:val="-2"/>
        </w:rPr>
        <w:t> members.</w:t>
      </w:r>
    </w:p>
    <w:p>
      <w:pPr>
        <w:pStyle w:val="BodyText"/>
        <w:ind w:left="120" w:right="118"/>
      </w:pPr>
      <w:r>
        <w:rPr/>
        <w:t>The policies may match or parallel those set forth in Section II’s treatment of long-term appointment</w:t>
      </w:r>
      <w:r>
        <w:rPr>
          <w:spacing w:val="-2"/>
        </w:rPr>
        <w:t> </w:t>
      </w:r>
      <w:r>
        <w:rPr/>
        <w:t>decisions.</w:t>
      </w:r>
      <w:r>
        <w:rPr>
          <w:spacing w:val="-5"/>
        </w:rPr>
        <w:t> </w:t>
      </w:r>
      <w:r>
        <w:rPr/>
        <w:t>Besides</w:t>
      </w:r>
      <w:r>
        <w:rPr>
          <w:spacing w:val="-3"/>
        </w:rPr>
        <w:t> </w:t>
      </w:r>
      <w:r>
        <w:rPr/>
        <w:t>noting</w:t>
      </w:r>
      <w:r>
        <w:rPr>
          <w:spacing w:val="-5"/>
        </w:rPr>
        <w:t> </w:t>
      </w:r>
      <w:r>
        <w:rPr/>
        <w:t>instances</w:t>
      </w:r>
      <w:r>
        <w:rPr>
          <w:spacing w:val="-5"/>
        </w:rPr>
        <w:t> </w:t>
      </w:r>
      <w:r>
        <w:rPr/>
        <w:t>in</w:t>
      </w:r>
      <w:r>
        <w:rPr>
          <w:spacing w:val="-1"/>
        </w:rPr>
        <w:t> </w:t>
      </w:r>
      <w:r>
        <w:rPr/>
        <w:t>which</w:t>
      </w:r>
      <w:r>
        <w:rPr>
          <w:spacing w:val="-4"/>
        </w:rPr>
        <w:t> </w:t>
      </w:r>
      <w:r>
        <w:rPr/>
        <w:t>the</w:t>
      </w:r>
      <w:r>
        <w:rPr>
          <w:spacing w:val="-2"/>
        </w:rPr>
        <w:t> </w:t>
      </w:r>
      <w:r>
        <w:rPr/>
        <w:t>same</w:t>
      </w:r>
      <w:r>
        <w:rPr>
          <w:spacing w:val="-4"/>
        </w:rPr>
        <w:t> </w:t>
      </w:r>
      <w:r>
        <w:rPr/>
        <w:t>rules</w:t>
      </w:r>
      <w:r>
        <w:rPr>
          <w:spacing w:val="-3"/>
        </w:rPr>
        <w:t> </w:t>
      </w:r>
      <w:r>
        <w:rPr/>
        <w:t>identified</w:t>
      </w:r>
      <w:r>
        <w:rPr>
          <w:spacing w:val="-1"/>
        </w:rPr>
        <w:t> </w:t>
      </w:r>
      <w:r>
        <w:rPr/>
        <w:t>in</w:t>
      </w:r>
      <w:r>
        <w:rPr>
          <w:spacing w:val="-1"/>
        </w:rPr>
        <w:t> </w:t>
      </w:r>
      <w:r>
        <w:rPr/>
        <w:t>Section</w:t>
      </w:r>
      <w:r>
        <w:rPr>
          <w:spacing w:val="-4"/>
        </w:rPr>
        <w:t> </w:t>
      </w:r>
      <w:r>
        <w:rPr/>
        <w:t>II govern the promotion context, this section highlights instances in which there are different policies for the promotion context.</w:t>
      </w:r>
    </w:p>
    <w:p>
      <w:pPr>
        <w:pStyle w:val="BodyText"/>
        <w:spacing w:before="40"/>
      </w:pPr>
    </w:p>
    <w:p>
      <w:pPr>
        <w:pStyle w:val="Heading1"/>
        <w:numPr>
          <w:ilvl w:val="1"/>
          <w:numId w:val="1"/>
        </w:numPr>
        <w:tabs>
          <w:tab w:pos="438" w:val="left" w:leader="none"/>
        </w:tabs>
        <w:spacing w:line="240" w:lineRule="auto" w:before="0" w:after="0"/>
        <w:ind w:left="438" w:right="0" w:hanging="318"/>
        <w:jc w:val="left"/>
      </w:pPr>
      <w:bookmarkStart w:name="A.  Timing of Promotion Cases" w:id="14"/>
      <w:bookmarkEnd w:id="14"/>
      <w:r>
        <w:rPr>
          <w:b w:val="0"/>
        </w:rPr>
      </w:r>
      <w:r>
        <w:rPr/>
        <w:t>Timing</w:t>
      </w:r>
      <w:r>
        <w:rPr>
          <w:spacing w:val="-3"/>
        </w:rPr>
        <w:t> </w:t>
      </w:r>
      <w:r>
        <w:rPr/>
        <w:t>of</w:t>
      </w:r>
      <w:r>
        <w:rPr>
          <w:spacing w:val="-2"/>
        </w:rPr>
        <w:t> </w:t>
      </w:r>
      <w:r>
        <w:rPr/>
        <w:t>Promotion</w:t>
      </w:r>
      <w:r>
        <w:rPr>
          <w:spacing w:val="-4"/>
        </w:rPr>
        <w:t> Cases</w:t>
      </w:r>
    </w:p>
    <w:p>
      <w:pPr>
        <w:pStyle w:val="BodyText"/>
        <w:rPr>
          <w:b/>
        </w:rPr>
      </w:pPr>
    </w:p>
    <w:p>
      <w:pPr>
        <w:pStyle w:val="BodyText"/>
        <w:ind w:left="120" w:firstLine="720"/>
      </w:pPr>
      <w:r>
        <w:rPr/>
        <w:t>As explained in greater detail in Section II(C)2, long-term appointment and promotion decisions are separate decisions, and may occur at different times. A promotion case may be instituted without being tied to the long-term appointment decision. Faculty members are not precluded</w:t>
      </w:r>
      <w:r>
        <w:rPr>
          <w:spacing w:val="-3"/>
        </w:rPr>
        <w:t> </w:t>
      </w:r>
      <w:r>
        <w:rPr/>
        <w:t>from</w:t>
      </w:r>
      <w:r>
        <w:rPr>
          <w:spacing w:val="-1"/>
        </w:rPr>
        <w:t> </w:t>
      </w:r>
      <w:r>
        <w:rPr/>
        <w:t>seeking</w:t>
      </w:r>
      <w:r>
        <w:rPr>
          <w:spacing w:val="-7"/>
        </w:rPr>
        <w:t> </w:t>
      </w:r>
      <w:r>
        <w:rPr/>
        <w:t>promotion</w:t>
      </w:r>
      <w:r>
        <w:rPr>
          <w:spacing w:val="-3"/>
        </w:rPr>
        <w:t> </w:t>
      </w:r>
      <w:r>
        <w:rPr/>
        <w:t>prior</w:t>
      </w:r>
      <w:r>
        <w:rPr>
          <w:spacing w:val="-4"/>
        </w:rPr>
        <w:t> </w:t>
      </w:r>
      <w:r>
        <w:rPr/>
        <w:t>to</w:t>
      </w:r>
      <w:r>
        <w:rPr>
          <w:spacing w:val="-3"/>
        </w:rPr>
        <w:t> </w:t>
      </w:r>
      <w:r>
        <w:rPr/>
        <w:t>a</w:t>
      </w:r>
      <w:r>
        <w:rPr>
          <w:spacing w:val="-1"/>
        </w:rPr>
        <w:t> </w:t>
      </w:r>
      <w:r>
        <w:rPr/>
        <w:t>long-term</w:t>
      </w:r>
      <w:r>
        <w:rPr>
          <w:spacing w:val="-4"/>
        </w:rPr>
        <w:t> </w:t>
      </w:r>
      <w:r>
        <w:rPr/>
        <w:t>appointment,</w:t>
      </w:r>
      <w:r>
        <w:rPr>
          <w:spacing w:val="-4"/>
        </w:rPr>
        <w:t> </w:t>
      </w:r>
      <w:r>
        <w:rPr/>
        <w:t>especially</w:t>
      </w:r>
      <w:r>
        <w:rPr>
          <w:spacing w:val="-2"/>
        </w:rPr>
        <w:t> </w:t>
      </w:r>
      <w:r>
        <w:rPr/>
        <w:t>in</w:t>
      </w:r>
      <w:r>
        <w:rPr>
          <w:spacing w:val="-3"/>
        </w:rPr>
        <w:t> </w:t>
      </w:r>
      <w:r>
        <w:rPr/>
        <w:t>the</w:t>
      </w:r>
      <w:r>
        <w:rPr>
          <w:spacing w:val="-3"/>
        </w:rPr>
        <w:t> </w:t>
      </w:r>
      <w:r>
        <w:rPr/>
        <w:t>case</w:t>
      </w:r>
      <w:r>
        <w:rPr>
          <w:spacing w:val="-1"/>
        </w:rPr>
        <w:t> </w:t>
      </w:r>
      <w:r>
        <w:rPr/>
        <w:t>of a faculty member who held a similar or higher rank at a prior academic institution and exhibits significant performance in-rank at Kelley.</w:t>
      </w:r>
    </w:p>
    <w:p>
      <w:pPr>
        <w:pStyle w:val="BodyText"/>
        <w:spacing w:before="39"/>
      </w:pPr>
    </w:p>
    <w:p>
      <w:pPr>
        <w:pStyle w:val="Heading1"/>
        <w:numPr>
          <w:ilvl w:val="1"/>
          <w:numId w:val="1"/>
        </w:numPr>
        <w:tabs>
          <w:tab w:pos="483" w:val="left" w:leader="none"/>
        </w:tabs>
        <w:spacing w:line="240" w:lineRule="auto" w:before="0" w:after="0"/>
        <w:ind w:left="483" w:right="0" w:hanging="363"/>
        <w:jc w:val="left"/>
      </w:pPr>
      <w:bookmarkStart w:name="B.   Criteria for Earning Promotion in R" w:id="15"/>
      <w:bookmarkEnd w:id="15"/>
      <w:r>
        <w:rPr>
          <w:b w:val="0"/>
        </w:rPr>
      </w:r>
      <w:r>
        <w:rPr/>
        <w:t>Criteria</w:t>
      </w:r>
      <w:r>
        <w:rPr>
          <w:spacing w:val="-5"/>
        </w:rPr>
        <w:t> </w:t>
      </w:r>
      <w:r>
        <w:rPr/>
        <w:t>for</w:t>
      </w:r>
      <w:r>
        <w:rPr>
          <w:spacing w:val="-3"/>
        </w:rPr>
        <w:t> </w:t>
      </w:r>
      <w:r>
        <w:rPr/>
        <w:t>Earning</w:t>
      </w:r>
      <w:r>
        <w:rPr>
          <w:spacing w:val="-2"/>
        </w:rPr>
        <w:t> </w:t>
      </w:r>
      <w:r>
        <w:rPr/>
        <w:t>Promotion</w:t>
      </w:r>
      <w:r>
        <w:rPr>
          <w:spacing w:val="-3"/>
        </w:rPr>
        <w:t> </w:t>
      </w:r>
      <w:r>
        <w:rPr/>
        <w:t>in </w:t>
      </w:r>
      <w:r>
        <w:rPr>
          <w:spacing w:val="-4"/>
        </w:rPr>
        <w:t>Rank</w:t>
      </w:r>
    </w:p>
    <w:p>
      <w:pPr>
        <w:pStyle w:val="BodyText"/>
        <w:rPr>
          <w:b/>
        </w:rPr>
      </w:pPr>
    </w:p>
    <w:p>
      <w:pPr>
        <w:pStyle w:val="BodyText"/>
        <w:ind w:left="120" w:right="118" w:firstLine="720"/>
      </w:pPr>
      <w:r>
        <w:rPr/>
        <w:t>To earn a promotion in rank from clinical assistant professor to clinical associate</w:t>
      </w:r>
      <w:r>
        <w:rPr>
          <w:spacing w:val="40"/>
        </w:rPr>
        <w:t> </w:t>
      </w:r>
      <w:r>
        <w:rPr/>
        <w:t>professor or from clinical associate professor to clinical professor, the Clinical faculty member must meet the criteria specified in this section and Section IV. Clinical assistant professors or clinical</w:t>
      </w:r>
      <w:r>
        <w:rPr>
          <w:spacing w:val="-2"/>
        </w:rPr>
        <w:t> </w:t>
      </w:r>
      <w:r>
        <w:rPr/>
        <w:t>associate</w:t>
      </w:r>
      <w:r>
        <w:rPr>
          <w:spacing w:val="-4"/>
        </w:rPr>
        <w:t> </w:t>
      </w:r>
      <w:r>
        <w:rPr/>
        <w:t>professors</w:t>
      </w:r>
      <w:r>
        <w:rPr>
          <w:spacing w:val="-3"/>
        </w:rPr>
        <w:t> </w:t>
      </w:r>
      <w:r>
        <w:rPr/>
        <w:t>qualifying</w:t>
      </w:r>
      <w:r>
        <w:rPr>
          <w:spacing w:val="-5"/>
        </w:rPr>
        <w:t> </w:t>
      </w:r>
      <w:r>
        <w:rPr/>
        <w:t>for</w:t>
      </w:r>
      <w:r>
        <w:rPr>
          <w:spacing w:val="-2"/>
        </w:rPr>
        <w:t> </w:t>
      </w:r>
      <w:r>
        <w:rPr/>
        <w:t>long-term</w:t>
      </w:r>
      <w:r>
        <w:rPr>
          <w:spacing w:val="-2"/>
        </w:rPr>
        <w:t> </w:t>
      </w:r>
      <w:r>
        <w:rPr/>
        <w:t>appointment</w:t>
      </w:r>
      <w:r>
        <w:rPr>
          <w:spacing w:val="-4"/>
        </w:rPr>
        <w:t> </w:t>
      </w:r>
      <w:r>
        <w:rPr/>
        <w:t>do</w:t>
      </w:r>
      <w:r>
        <w:rPr>
          <w:spacing w:val="-4"/>
        </w:rPr>
        <w:t> </w:t>
      </w:r>
      <w:r>
        <w:rPr/>
        <w:t>not</w:t>
      </w:r>
      <w:r>
        <w:rPr>
          <w:spacing w:val="-4"/>
        </w:rPr>
        <w:t> </w:t>
      </w:r>
      <w:r>
        <w:rPr/>
        <w:t>necessarily</w:t>
      </w:r>
      <w:r>
        <w:rPr>
          <w:spacing w:val="-3"/>
        </w:rPr>
        <w:t> </w:t>
      </w:r>
      <w:r>
        <w:rPr/>
        <w:t>qualify</w:t>
      </w:r>
      <w:r>
        <w:rPr>
          <w:spacing w:val="-6"/>
        </w:rPr>
        <w:t> </w:t>
      </w:r>
      <w:r>
        <w:rPr/>
        <w:t>them for promotion. Promotion standards are higher as defined in Section III(B). The process also differs significantly as it includes an external review as well as evaluation at both the campus,</w:t>
      </w:r>
      <w:r>
        <w:rPr>
          <w:spacing w:val="40"/>
        </w:rPr>
        <w:t> </w:t>
      </w:r>
      <w:r>
        <w:rPr/>
        <w:t>and university levels. To satisfy the promotion criteria, the Clinical faculty member must either:</w:t>
      </w:r>
      <w:hyperlink w:history="true" w:anchor="_bookmark7">
        <w:r>
          <w:rPr>
            <w:vertAlign w:val="superscript"/>
          </w:rPr>
          <w:t>8</w:t>
        </w:r>
      </w:hyperlink>
    </w:p>
    <w:p>
      <w:pPr>
        <w:pStyle w:val="BodyText"/>
        <w:rPr>
          <w:sz w:val="20"/>
        </w:rPr>
      </w:pPr>
    </w:p>
    <w:p>
      <w:pPr>
        <w:pStyle w:val="BodyText"/>
        <w:spacing w:before="161"/>
        <w:rPr>
          <w:sz w:val="20"/>
        </w:rPr>
      </w:pPr>
      <w:r>
        <w:rPr/>
        <mc:AlternateContent>
          <mc:Choice Requires="wps">
            <w:drawing>
              <wp:anchor distT="0" distB="0" distL="0" distR="0" allowOverlap="1" layoutInCell="1" locked="0" behindDoc="1" simplePos="0" relativeHeight="487590912">
                <wp:simplePos x="0" y="0"/>
                <wp:positionH relativeFrom="page">
                  <wp:posOffset>914400</wp:posOffset>
                </wp:positionH>
                <wp:positionV relativeFrom="paragraph">
                  <wp:posOffset>273020</wp:posOffset>
                </wp:positionV>
                <wp:extent cx="1828800" cy="762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1.497656pt;width:144pt;height:.6pt;mso-position-horizontal-relative:page;mso-position-vertical-relative:paragraph;z-index:-15725568;mso-wrap-distance-left:0;mso-wrap-distance-right:0" id="docshape7" filled="true" fillcolor="#000000" stroked="false">
                <v:fill type="solid"/>
                <w10:wrap type="topAndBottom"/>
              </v:rect>
            </w:pict>
          </mc:Fallback>
        </mc:AlternateContent>
      </w:r>
    </w:p>
    <w:p>
      <w:pPr>
        <w:spacing w:before="103"/>
        <w:ind w:left="120" w:right="0" w:hanging="1"/>
        <w:jc w:val="left"/>
        <w:rPr>
          <w:rFonts w:ascii="Times New Roman"/>
          <w:sz w:val="20"/>
        </w:rPr>
      </w:pPr>
      <w:bookmarkStart w:name="_bookmark7" w:id="16"/>
      <w:bookmarkEnd w:id="16"/>
      <w:r>
        <w:rPr/>
      </w:r>
      <w:r>
        <w:rPr>
          <w:rFonts w:ascii="Times New Roman"/>
          <w:sz w:val="20"/>
          <w:vertAlign w:val="superscript"/>
        </w:rPr>
        <w:t>8</w:t>
      </w:r>
      <w:r>
        <w:rPr>
          <w:rFonts w:ascii="Times New Roman"/>
          <w:spacing w:val="-3"/>
          <w:sz w:val="20"/>
          <w:vertAlign w:val="baseline"/>
        </w:rPr>
        <w:t> </w:t>
      </w:r>
      <w:r>
        <w:rPr>
          <w:rFonts w:ascii="Times New Roman"/>
          <w:sz w:val="20"/>
          <w:vertAlign w:val="baseline"/>
        </w:rPr>
        <w:t>Candidates</w:t>
      </w:r>
      <w:r>
        <w:rPr>
          <w:rFonts w:ascii="Times New Roman"/>
          <w:spacing w:val="-4"/>
          <w:sz w:val="20"/>
          <w:vertAlign w:val="baseline"/>
        </w:rPr>
        <w:t> </w:t>
      </w:r>
      <w:r>
        <w:rPr>
          <w:rFonts w:ascii="Times New Roman"/>
          <w:sz w:val="20"/>
          <w:vertAlign w:val="baseline"/>
        </w:rPr>
        <w:t>for</w:t>
      </w:r>
      <w:r>
        <w:rPr>
          <w:rFonts w:ascii="Times New Roman"/>
          <w:spacing w:val="-2"/>
          <w:sz w:val="20"/>
          <w:vertAlign w:val="baseline"/>
        </w:rPr>
        <w:t> </w:t>
      </w:r>
      <w:r>
        <w:rPr>
          <w:rFonts w:ascii="Times New Roman"/>
          <w:sz w:val="20"/>
          <w:vertAlign w:val="baseline"/>
        </w:rPr>
        <w:t>promotion</w:t>
      </w:r>
      <w:r>
        <w:rPr>
          <w:rFonts w:ascii="Times New Roman"/>
          <w:spacing w:val="-2"/>
          <w:sz w:val="20"/>
          <w:vertAlign w:val="baseline"/>
        </w:rPr>
        <w:t> </w:t>
      </w:r>
      <w:r>
        <w:rPr>
          <w:rFonts w:ascii="Times New Roman"/>
          <w:sz w:val="20"/>
          <w:vertAlign w:val="baseline"/>
        </w:rPr>
        <w:t>should</w:t>
      </w:r>
      <w:r>
        <w:rPr>
          <w:rFonts w:ascii="Times New Roman"/>
          <w:spacing w:val="-2"/>
          <w:sz w:val="20"/>
          <w:vertAlign w:val="baseline"/>
        </w:rPr>
        <w:t> </w:t>
      </w:r>
      <w:r>
        <w:rPr>
          <w:rFonts w:ascii="Times New Roman"/>
          <w:sz w:val="20"/>
          <w:vertAlign w:val="baseline"/>
        </w:rPr>
        <w:t>review</w:t>
      </w:r>
      <w:r>
        <w:rPr>
          <w:rFonts w:ascii="Times New Roman"/>
          <w:spacing w:val="-3"/>
          <w:sz w:val="20"/>
          <w:vertAlign w:val="baseline"/>
        </w:rPr>
        <w:t> </w:t>
      </w:r>
      <w:r>
        <w:rPr>
          <w:rFonts w:ascii="Times New Roman"/>
          <w:sz w:val="20"/>
          <w:vertAlign w:val="baseline"/>
        </w:rPr>
        <w:t>the</w:t>
      </w:r>
      <w:r>
        <w:rPr>
          <w:rFonts w:ascii="Times New Roman"/>
          <w:spacing w:val="-3"/>
          <w:sz w:val="20"/>
          <w:vertAlign w:val="baseline"/>
        </w:rPr>
        <w:t> </w:t>
      </w:r>
      <w:r>
        <w:rPr>
          <w:rFonts w:ascii="Times New Roman"/>
          <w:sz w:val="20"/>
          <w:vertAlign w:val="baseline"/>
        </w:rPr>
        <w:t>current</w:t>
      </w:r>
      <w:r>
        <w:rPr>
          <w:rFonts w:ascii="Times New Roman"/>
          <w:spacing w:val="-3"/>
          <w:sz w:val="20"/>
          <w:vertAlign w:val="baseline"/>
        </w:rPr>
        <w:t> </w:t>
      </w:r>
      <w:r>
        <w:rPr>
          <w:rFonts w:ascii="Times New Roman"/>
          <w:sz w:val="20"/>
          <w:vertAlign w:val="baseline"/>
        </w:rPr>
        <w:t>year</w:t>
      </w:r>
      <w:r>
        <w:rPr>
          <w:rFonts w:ascii="Times New Roman"/>
          <w:spacing w:val="-5"/>
          <w:sz w:val="20"/>
          <w:vertAlign w:val="baseline"/>
        </w:rPr>
        <w:t> </w:t>
      </w:r>
      <w:r>
        <w:rPr>
          <w:rFonts w:ascii="Times New Roman"/>
          <w:sz w:val="20"/>
          <w:vertAlign w:val="baseline"/>
        </w:rPr>
        <w:t>IUPUI</w:t>
      </w:r>
      <w:r>
        <w:rPr>
          <w:rFonts w:ascii="Times New Roman"/>
          <w:spacing w:val="-2"/>
          <w:sz w:val="20"/>
          <w:vertAlign w:val="baseline"/>
        </w:rPr>
        <w:t> </w:t>
      </w:r>
      <w:r>
        <w:rPr>
          <w:rFonts w:ascii="Times New Roman"/>
          <w:sz w:val="20"/>
          <w:vertAlign w:val="baseline"/>
        </w:rPr>
        <w:t>Promotion</w:t>
      </w:r>
      <w:r>
        <w:rPr>
          <w:rFonts w:ascii="Times New Roman"/>
          <w:spacing w:val="-2"/>
          <w:sz w:val="20"/>
          <w:vertAlign w:val="baseline"/>
        </w:rPr>
        <w:t> </w:t>
      </w:r>
      <w:r>
        <w:rPr>
          <w:rFonts w:ascii="Times New Roman"/>
          <w:sz w:val="20"/>
          <w:vertAlign w:val="baseline"/>
        </w:rPr>
        <w:t>and</w:t>
      </w:r>
      <w:r>
        <w:rPr>
          <w:rFonts w:ascii="Times New Roman"/>
          <w:spacing w:val="-2"/>
          <w:sz w:val="20"/>
          <w:vertAlign w:val="baseline"/>
        </w:rPr>
        <w:t> </w:t>
      </w:r>
      <w:r>
        <w:rPr>
          <w:rFonts w:ascii="Times New Roman"/>
          <w:sz w:val="20"/>
          <w:vertAlign w:val="baseline"/>
        </w:rPr>
        <w:t>Tenure</w:t>
      </w:r>
      <w:r>
        <w:rPr>
          <w:rFonts w:ascii="Times New Roman"/>
          <w:spacing w:val="-3"/>
          <w:sz w:val="20"/>
          <w:vertAlign w:val="baseline"/>
        </w:rPr>
        <w:t> </w:t>
      </w:r>
      <w:r>
        <w:rPr>
          <w:rFonts w:ascii="Times New Roman"/>
          <w:sz w:val="20"/>
          <w:vertAlign w:val="baseline"/>
        </w:rPr>
        <w:t>Guidelines</w:t>
      </w:r>
      <w:r>
        <w:rPr>
          <w:rFonts w:ascii="Times New Roman"/>
          <w:spacing w:val="-4"/>
          <w:sz w:val="20"/>
          <w:vertAlign w:val="baseline"/>
        </w:rPr>
        <w:t> </w:t>
      </w:r>
      <w:r>
        <w:rPr>
          <w:rFonts w:ascii="Times New Roman"/>
          <w:sz w:val="20"/>
          <w:vertAlign w:val="baseline"/>
        </w:rPr>
        <w:t>prior</w:t>
      </w:r>
      <w:r>
        <w:rPr>
          <w:rFonts w:ascii="Times New Roman"/>
          <w:spacing w:val="-2"/>
          <w:sz w:val="20"/>
          <w:vertAlign w:val="baseline"/>
        </w:rPr>
        <w:t> </w:t>
      </w:r>
      <w:r>
        <w:rPr>
          <w:rFonts w:ascii="Times New Roman"/>
          <w:sz w:val="20"/>
          <w:vertAlign w:val="baseline"/>
        </w:rPr>
        <w:t>to</w:t>
      </w:r>
      <w:r>
        <w:rPr>
          <w:rFonts w:ascii="Times New Roman"/>
          <w:spacing w:val="-2"/>
          <w:sz w:val="20"/>
          <w:vertAlign w:val="baseline"/>
        </w:rPr>
        <w:t> </w:t>
      </w:r>
      <w:r>
        <w:rPr>
          <w:rFonts w:ascii="Times New Roman"/>
          <w:sz w:val="20"/>
          <w:vertAlign w:val="baseline"/>
        </w:rPr>
        <w:t>beginning the promotion process.</w:t>
      </w:r>
    </w:p>
    <w:p>
      <w:pPr>
        <w:spacing w:after="0"/>
        <w:jc w:val="left"/>
        <w:rPr>
          <w:rFonts w:ascii="Times New Roman"/>
          <w:sz w:val="20"/>
        </w:rPr>
        <w:sectPr>
          <w:pgSz w:w="12240" w:h="15840"/>
          <w:pgMar w:header="0" w:footer="1712" w:top="1400" w:bottom="1900" w:left="1320" w:right="1180"/>
        </w:sectPr>
      </w:pPr>
    </w:p>
    <w:p>
      <w:pPr>
        <w:pStyle w:val="ListParagraph"/>
        <w:numPr>
          <w:ilvl w:val="0"/>
          <w:numId w:val="5"/>
        </w:numPr>
        <w:tabs>
          <w:tab w:pos="1200" w:val="left" w:leader="none"/>
        </w:tabs>
        <w:spacing w:line="240" w:lineRule="auto" w:before="39" w:after="0"/>
        <w:ind w:left="1200" w:right="272" w:hanging="360"/>
        <w:jc w:val="left"/>
        <w:rPr>
          <w:sz w:val="24"/>
        </w:rPr>
      </w:pPr>
      <w:r>
        <w:rPr>
          <w:sz w:val="24"/>
        </w:rPr>
        <w:t>Achieve</w:t>
      </w:r>
      <w:r>
        <w:rPr>
          <w:spacing w:val="-2"/>
          <w:sz w:val="24"/>
        </w:rPr>
        <w:t> </w:t>
      </w:r>
      <w:r>
        <w:rPr>
          <w:sz w:val="24"/>
        </w:rPr>
        <w:t>a</w:t>
      </w:r>
      <w:r>
        <w:rPr>
          <w:spacing w:val="-5"/>
          <w:sz w:val="24"/>
        </w:rPr>
        <w:t> </w:t>
      </w:r>
      <w:r>
        <w:rPr>
          <w:sz w:val="24"/>
        </w:rPr>
        <w:t>rating</w:t>
      </w:r>
      <w:r>
        <w:rPr>
          <w:spacing w:val="-3"/>
          <w:sz w:val="24"/>
        </w:rPr>
        <w:t> </w:t>
      </w:r>
      <w:r>
        <w:rPr>
          <w:sz w:val="24"/>
        </w:rPr>
        <w:t>of</w:t>
      </w:r>
      <w:r>
        <w:rPr>
          <w:spacing w:val="-1"/>
          <w:sz w:val="24"/>
        </w:rPr>
        <w:t> </w:t>
      </w:r>
      <w:r>
        <w:rPr>
          <w:i/>
          <w:sz w:val="24"/>
        </w:rPr>
        <w:t>excellent</w:t>
      </w:r>
      <w:r>
        <w:rPr>
          <w:i/>
          <w:spacing w:val="-1"/>
          <w:sz w:val="24"/>
        </w:rPr>
        <w:t> </w:t>
      </w:r>
      <w:r>
        <w:rPr>
          <w:sz w:val="24"/>
        </w:rPr>
        <w:t>in</w:t>
      </w:r>
      <w:r>
        <w:rPr>
          <w:spacing w:val="-4"/>
          <w:sz w:val="24"/>
        </w:rPr>
        <w:t> </w:t>
      </w:r>
      <w:r>
        <w:rPr>
          <w:sz w:val="24"/>
        </w:rPr>
        <w:t>one</w:t>
      </w:r>
      <w:r>
        <w:rPr>
          <w:spacing w:val="-2"/>
          <w:sz w:val="24"/>
        </w:rPr>
        <w:t> </w:t>
      </w:r>
      <w:r>
        <w:rPr>
          <w:sz w:val="24"/>
        </w:rPr>
        <w:t>category</w:t>
      </w:r>
      <w:r>
        <w:rPr>
          <w:spacing w:val="-3"/>
          <w:sz w:val="24"/>
        </w:rPr>
        <w:t> </w:t>
      </w:r>
      <w:r>
        <w:rPr>
          <w:sz w:val="24"/>
        </w:rPr>
        <w:t>of</w:t>
      </w:r>
      <w:r>
        <w:rPr>
          <w:spacing w:val="-1"/>
          <w:sz w:val="24"/>
        </w:rPr>
        <w:t> </w:t>
      </w:r>
      <w:r>
        <w:rPr>
          <w:sz w:val="24"/>
        </w:rPr>
        <w:t>evaluation</w:t>
      </w:r>
      <w:r>
        <w:rPr>
          <w:spacing w:val="-1"/>
          <w:sz w:val="24"/>
        </w:rPr>
        <w:t> </w:t>
      </w:r>
      <w:r>
        <w:rPr>
          <w:sz w:val="24"/>
        </w:rPr>
        <w:t>(teaching</w:t>
      </w:r>
      <w:r>
        <w:rPr>
          <w:spacing w:val="-3"/>
          <w:sz w:val="24"/>
        </w:rPr>
        <w:t> </w:t>
      </w:r>
      <w:r>
        <w:rPr>
          <w:sz w:val="24"/>
        </w:rPr>
        <w:t>or</w:t>
      </w:r>
      <w:r>
        <w:rPr>
          <w:spacing w:val="-5"/>
          <w:sz w:val="24"/>
        </w:rPr>
        <w:t> </w:t>
      </w:r>
      <w:r>
        <w:rPr>
          <w:sz w:val="24"/>
        </w:rPr>
        <w:t>service)</w:t>
      </w:r>
      <w:r>
        <w:rPr>
          <w:spacing w:val="-3"/>
          <w:sz w:val="24"/>
        </w:rPr>
        <w:t> </w:t>
      </w:r>
      <w:r>
        <w:rPr>
          <w:sz w:val="24"/>
        </w:rPr>
        <w:t>and</w:t>
      </w:r>
      <w:r>
        <w:rPr>
          <w:spacing w:val="-1"/>
          <w:sz w:val="24"/>
        </w:rPr>
        <w:t> </w:t>
      </w:r>
      <w:r>
        <w:rPr>
          <w:sz w:val="24"/>
        </w:rPr>
        <w:t>a rating of at least </w:t>
      </w:r>
      <w:r>
        <w:rPr>
          <w:i/>
          <w:sz w:val="24"/>
        </w:rPr>
        <w:t>satisfactory </w:t>
      </w:r>
      <w:r>
        <w:rPr>
          <w:sz w:val="24"/>
        </w:rPr>
        <w:t>in the other category of evaluation; </w:t>
      </w:r>
      <w:r>
        <w:rPr>
          <w:sz w:val="24"/>
          <w:u w:val="single"/>
        </w:rPr>
        <w:t>or</w:t>
      </w:r>
    </w:p>
    <w:p>
      <w:pPr>
        <w:pStyle w:val="ListParagraph"/>
        <w:numPr>
          <w:ilvl w:val="0"/>
          <w:numId w:val="5"/>
        </w:numPr>
        <w:tabs>
          <w:tab w:pos="1200" w:val="left" w:leader="none"/>
        </w:tabs>
        <w:spacing w:line="240" w:lineRule="auto" w:before="293" w:after="0"/>
        <w:ind w:left="1200" w:right="166" w:hanging="360"/>
        <w:jc w:val="left"/>
        <w:rPr>
          <w:sz w:val="24"/>
        </w:rPr>
      </w:pPr>
      <w:r>
        <w:rPr>
          <w:sz w:val="24"/>
        </w:rPr>
        <w:t>Demonstrate balanced strengths that indicate overall performance whose benefit to the</w:t>
      </w:r>
      <w:r>
        <w:rPr>
          <w:spacing w:val="-4"/>
          <w:sz w:val="24"/>
        </w:rPr>
        <w:t> </w:t>
      </w:r>
      <w:r>
        <w:rPr>
          <w:sz w:val="24"/>
        </w:rPr>
        <w:t>University</w:t>
      </w:r>
      <w:r>
        <w:rPr>
          <w:spacing w:val="-3"/>
          <w:sz w:val="24"/>
        </w:rPr>
        <w:t> </w:t>
      </w:r>
      <w:r>
        <w:rPr>
          <w:sz w:val="24"/>
        </w:rPr>
        <w:t>is</w:t>
      </w:r>
      <w:r>
        <w:rPr>
          <w:spacing w:val="-3"/>
          <w:sz w:val="24"/>
        </w:rPr>
        <w:t> </w:t>
      </w:r>
      <w:r>
        <w:rPr>
          <w:sz w:val="24"/>
        </w:rPr>
        <w:t>comparable</w:t>
      </w:r>
      <w:r>
        <w:rPr>
          <w:spacing w:val="-2"/>
          <w:sz w:val="24"/>
        </w:rPr>
        <w:t> </w:t>
      </w:r>
      <w:r>
        <w:rPr>
          <w:sz w:val="24"/>
        </w:rPr>
        <w:t>in</w:t>
      </w:r>
      <w:r>
        <w:rPr>
          <w:spacing w:val="-2"/>
          <w:sz w:val="24"/>
        </w:rPr>
        <w:t> </w:t>
      </w:r>
      <w:r>
        <w:rPr>
          <w:sz w:val="24"/>
        </w:rPr>
        <w:t>value</w:t>
      </w:r>
      <w:r>
        <w:rPr>
          <w:spacing w:val="-4"/>
          <w:sz w:val="24"/>
        </w:rPr>
        <w:t> </w:t>
      </w:r>
      <w:r>
        <w:rPr>
          <w:sz w:val="24"/>
        </w:rPr>
        <w:t>to</w:t>
      </w:r>
      <w:r>
        <w:rPr>
          <w:spacing w:val="-4"/>
          <w:sz w:val="24"/>
        </w:rPr>
        <w:t> </w:t>
      </w:r>
      <w:r>
        <w:rPr>
          <w:sz w:val="24"/>
        </w:rPr>
        <w:t>the</w:t>
      </w:r>
      <w:r>
        <w:rPr>
          <w:spacing w:val="-2"/>
          <w:sz w:val="24"/>
        </w:rPr>
        <w:t> </w:t>
      </w:r>
      <w:r>
        <w:rPr>
          <w:sz w:val="24"/>
        </w:rPr>
        <w:t>benefit</w:t>
      </w:r>
      <w:r>
        <w:rPr>
          <w:spacing w:val="-2"/>
          <w:sz w:val="24"/>
        </w:rPr>
        <w:t> </w:t>
      </w:r>
      <w:r>
        <w:rPr>
          <w:sz w:val="24"/>
        </w:rPr>
        <w:t>contemplated</w:t>
      </w:r>
      <w:r>
        <w:rPr>
          <w:spacing w:val="-2"/>
          <w:sz w:val="24"/>
        </w:rPr>
        <w:t> </w:t>
      </w:r>
      <w:r>
        <w:rPr>
          <w:sz w:val="24"/>
        </w:rPr>
        <w:t>under</w:t>
      </w:r>
      <w:r>
        <w:rPr>
          <w:spacing w:val="-2"/>
          <w:sz w:val="24"/>
        </w:rPr>
        <w:t> </w:t>
      </w:r>
      <w:r>
        <w:rPr>
          <w:sz w:val="24"/>
        </w:rPr>
        <w:t>option</w:t>
      </w:r>
      <w:r>
        <w:rPr>
          <w:spacing w:val="-2"/>
          <w:sz w:val="24"/>
        </w:rPr>
        <w:t> </w:t>
      </w:r>
      <w:r>
        <w:rPr>
          <w:sz w:val="24"/>
        </w:rPr>
        <w:t>(a).</w:t>
      </w:r>
      <w:r>
        <w:rPr>
          <w:spacing w:val="40"/>
          <w:sz w:val="24"/>
        </w:rPr>
        <w:t> </w:t>
      </w:r>
      <w:r>
        <w:rPr>
          <w:sz w:val="24"/>
        </w:rPr>
        <w:t>A Clinical faculty member has three options for the balanced case.</w:t>
      </w:r>
    </w:p>
    <w:p>
      <w:pPr>
        <w:pStyle w:val="ListParagraph"/>
        <w:numPr>
          <w:ilvl w:val="1"/>
          <w:numId w:val="5"/>
        </w:numPr>
        <w:tabs>
          <w:tab w:pos="1919" w:val="left" w:leader="none"/>
        </w:tabs>
        <w:spacing w:line="240" w:lineRule="auto" w:before="0" w:after="0"/>
        <w:ind w:left="1919" w:right="271" w:hanging="360"/>
        <w:jc w:val="left"/>
        <w:rPr>
          <w:sz w:val="24"/>
        </w:rPr>
      </w:pPr>
      <w:bookmarkStart w:name="1. Balanced-Binned:  accomplishments dis" w:id="17"/>
      <w:bookmarkEnd w:id="17"/>
      <w:r>
        <w:rPr/>
      </w:r>
      <w:r>
        <w:rPr>
          <w:sz w:val="24"/>
        </w:rPr>
        <w:t>Balanced-Binned:</w:t>
      </w:r>
      <w:r>
        <w:rPr>
          <w:spacing w:val="40"/>
          <w:sz w:val="24"/>
        </w:rPr>
        <w:t> </w:t>
      </w:r>
      <w:r>
        <w:rPr>
          <w:sz w:val="24"/>
        </w:rPr>
        <w:t>accomplishments distributed among areas, but not necessarily</w:t>
      </w:r>
      <w:r>
        <w:rPr>
          <w:spacing w:val="-5"/>
          <w:sz w:val="24"/>
        </w:rPr>
        <w:t> </w:t>
      </w:r>
      <w:r>
        <w:rPr>
          <w:sz w:val="24"/>
        </w:rPr>
        <w:t>integrated</w:t>
      </w:r>
      <w:r>
        <w:rPr>
          <w:spacing w:val="-6"/>
          <w:sz w:val="24"/>
        </w:rPr>
        <w:t> </w:t>
      </w:r>
      <w:r>
        <w:rPr>
          <w:sz w:val="24"/>
        </w:rPr>
        <w:t>among</w:t>
      </w:r>
      <w:r>
        <w:rPr>
          <w:spacing w:val="-7"/>
          <w:sz w:val="24"/>
        </w:rPr>
        <w:t> </w:t>
      </w:r>
      <w:r>
        <w:rPr>
          <w:sz w:val="24"/>
        </w:rPr>
        <w:t>themselves.</w:t>
      </w:r>
      <w:r>
        <w:rPr>
          <w:spacing w:val="-10"/>
          <w:sz w:val="24"/>
        </w:rPr>
        <w:t> </w:t>
      </w:r>
      <w:r>
        <w:rPr>
          <w:sz w:val="24"/>
        </w:rPr>
        <w:t>The</w:t>
      </w:r>
      <w:r>
        <w:rPr>
          <w:spacing w:val="-4"/>
          <w:sz w:val="24"/>
        </w:rPr>
        <w:t> </w:t>
      </w:r>
      <w:r>
        <w:rPr>
          <w:sz w:val="24"/>
        </w:rPr>
        <w:t>balanced-binned</w:t>
      </w:r>
      <w:r>
        <w:rPr>
          <w:spacing w:val="-4"/>
          <w:sz w:val="24"/>
        </w:rPr>
        <w:t> </w:t>
      </w:r>
      <w:r>
        <w:rPr>
          <w:sz w:val="24"/>
        </w:rPr>
        <w:t>case</w:t>
      </w:r>
      <w:r>
        <w:rPr>
          <w:spacing w:val="-4"/>
          <w:sz w:val="24"/>
        </w:rPr>
        <w:t> </w:t>
      </w:r>
      <w:r>
        <w:rPr>
          <w:sz w:val="24"/>
        </w:rPr>
        <w:t>requires that the Clinical</w:t>
      </w:r>
      <w:r>
        <w:rPr>
          <w:spacing w:val="-1"/>
          <w:sz w:val="24"/>
        </w:rPr>
        <w:t> </w:t>
      </w:r>
      <w:r>
        <w:rPr>
          <w:sz w:val="24"/>
        </w:rPr>
        <w:t>faculty</w:t>
      </w:r>
      <w:r>
        <w:rPr>
          <w:spacing w:val="-2"/>
          <w:sz w:val="24"/>
        </w:rPr>
        <w:t> </w:t>
      </w:r>
      <w:r>
        <w:rPr>
          <w:sz w:val="24"/>
        </w:rPr>
        <w:t>member</w:t>
      </w:r>
      <w:r>
        <w:rPr>
          <w:spacing w:val="-1"/>
          <w:sz w:val="24"/>
        </w:rPr>
        <w:t> </w:t>
      </w:r>
      <w:r>
        <w:rPr>
          <w:sz w:val="24"/>
        </w:rPr>
        <w:t>achieve overall</w:t>
      </w:r>
      <w:r>
        <w:rPr>
          <w:spacing w:val="-3"/>
          <w:sz w:val="24"/>
        </w:rPr>
        <w:t> </w:t>
      </w:r>
      <w:r>
        <w:rPr>
          <w:sz w:val="24"/>
        </w:rPr>
        <w:t>excellence with a</w:t>
      </w:r>
      <w:r>
        <w:rPr>
          <w:spacing w:val="-1"/>
          <w:sz w:val="24"/>
        </w:rPr>
        <w:t> </w:t>
      </w:r>
      <w:r>
        <w:rPr>
          <w:sz w:val="24"/>
        </w:rPr>
        <w:t>rating</w:t>
      </w:r>
      <w:r>
        <w:rPr>
          <w:spacing w:val="-1"/>
          <w:sz w:val="24"/>
        </w:rPr>
        <w:t> </w:t>
      </w:r>
      <w:r>
        <w:rPr>
          <w:sz w:val="24"/>
        </w:rPr>
        <w:t>of at </w:t>
      </w:r>
      <w:bookmarkStart w:name="2. Balanced-Integrative Diversity, Equit" w:id="18"/>
      <w:bookmarkEnd w:id="18"/>
      <w:r>
        <w:rPr>
          <w:sz w:val="24"/>
        </w:rPr>
        <w:t>lea</w:t>
      </w:r>
      <w:r>
        <w:rPr>
          <w:sz w:val="24"/>
        </w:rPr>
        <w:t>st</w:t>
      </w:r>
      <w:r>
        <w:rPr>
          <w:spacing w:val="-3"/>
          <w:sz w:val="24"/>
        </w:rPr>
        <w:t> </w:t>
      </w:r>
      <w:r>
        <w:rPr>
          <w:sz w:val="24"/>
        </w:rPr>
        <w:t>highly</w:t>
      </w:r>
      <w:r>
        <w:rPr>
          <w:spacing w:val="-2"/>
          <w:sz w:val="24"/>
        </w:rPr>
        <w:t> </w:t>
      </w:r>
      <w:r>
        <w:rPr>
          <w:sz w:val="24"/>
        </w:rPr>
        <w:t>satisfactory</w:t>
      </w:r>
      <w:r>
        <w:rPr>
          <w:spacing w:val="-2"/>
          <w:sz w:val="24"/>
        </w:rPr>
        <w:t> </w:t>
      </w:r>
      <w:r>
        <w:rPr>
          <w:sz w:val="24"/>
        </w:rPr>
        <w:t>in each</w:t>
      </w:r>
      <w:r>
        <w:rPr>
          <w:spacing w:val="-3"/>
          <w:sz w:val="24"/>
        </w:rPr>
        <w:t> </w:t>
      </w:r>
      <w:r>
        <w:rPr>
          <w:sz w:val="24"/>
        </w:rPr>
        <w:t>category</w:t>
      </w:r>
      <w:r>
        <w:rPr>
          <w:spacing w:val="-2"/>
          <w:sz w:val="24"/>
        </w:rPr>
        <w:t> </w:t>
      </w:r>
      <w:r>
        <w:rPr>
          <w:sz w:val="24"/>
        </w:rPr>
        <w:t>of</w:t>
      </w:r>
      <w:r>
        <w:rPr>
          <w:spacing w:val="-3"/>
          <w:sz w:val="24"/>
        </w:rPr>
        <w:t> </w:t>
      </w:r>
      <w:r>
        <w:rPr>
          <w:sz w:val="24"/>
        </w:rPr>
        <w:t>evaluation</w:t>
      </w:r>
      <w:r>
        <w:rPr>
          <w:spacing w:val="-3"/>
          <w:sz w:val="24"/>
        </w:rPr>
        <w:t> </w:t>
      </w:r>
      <w:r>
        <w:rPr>
          <w:sz w:val="24"/>
        </w:rPr>
        <w:t>(teaching</w:t>
      </w:r>
      <w:r>
        <w:rPr>
          <w:spacing w:val="-2"/>
          <w:sz w:val="24"/>
        </w:rPr>
        <w:t> </w:t>
      </w:r>
      <w:r>
        <w:rPr>
          <w:sz w:val="24"/>
        </w:rPr>
        <w:t>and</w:t>
      </w:r>
      <w:r>
        <w:rPr>
          <w:spacing w:val="-3"/>
          <w:sz w:val="24"/>
        </w:rPr>
        <w:t> </w:t>
      </w:r>
      <w:r>
        <w:rPr>
          <w:sz w:val="24"/>
        </w:rPr>
        <w:t>service).</w:t>
      </w:r>
    </w:p>
    <w:p>
      <w:pPr>
        <w:pStyle w:val="ListParagraph"/>
        <w:numPr>
          <w:ilvl w:val="1"/>
          <w:numId w:val="5"/>
        </w:numPr>
        <w:tabs>
          <w:tab w:pos="1919" w:val="left" w:leader="none"/>
        </w:tabs>
        <w:spacing w:line="240" w:lineRule="auto" w:before="1" w:after="0"/>
        <w:ind w:left="1919" w:right="115" w:hanging="360"/>
        <w:jc w:val="left"/>
        <w:rPr>
          <w:sz w:val="24"/>
        </w:rPr>
      </w:pPr>
      <w:r>
        <w:rPr>
          <w:sz w:val="24"/>
        </w:rPr>
        <w:t>Balanced-Integrative Diversity, Equity, and Inclusion:</w:t>
      </w:r>
      <w:r>
        <w:rPr>
          <w:spacing w:val="40"/>
          <w:sz w:val="24"/>
        </w:rPr>
        <w:t> </w:t>
      </w:r>
      <w:r>
        <w:rPr>
          <w:sz w:val="24"/>
        </w:rPr>
        <w:t>an integration among accomplishments and an overall philosophy and achievement towards DEI.</w:t>
      </w:r>
      <w:r>
        <w:rPr>
          <w:spacing w:val="40"/>
          <w:sz w:val="24"/>
        </w:rPr>
        <w:t> </w:t>
      </w:r>
      <w:r>
        <w:rPr>
          <w:sz w:val="24"/>
        </w:rPr>
        <w:t>The balanced-integrated DEI case requires that the Clinical faculty member achieve</w:t>
      </w:r>
      <w:r>
        <w:rPr>
          <w:spacing w:val="-3"/>
          <w:sz w:val="24"/>
        </w:rPr>
        <w:t> </w:t>
      </w:r>
      <w:r>
        <w:rPr>
          <w:sz w:val="24"/>
        </w:rPr>
        <w:t>overall</w:t>
      </w:r>
      <w:r>
        <w:rPr>
          <w:spacing w:val="-3"/>
          <w:sz w:val="24"/>
        </w:rPr>
        <w:t> </w:t>
      </w:r>
      <w:r>
        <w:rPr>
          <w:sz w:val="24"/>
        </w:rPr>
        <w:t>excellence</w:t>
      </w:r>
      <w:r>
        <w:rPr>
          <w:spacing w:val="-3"/>
          <w:sz w:val="24"/>
        </w:rPr>
        <w:t> </w:t>
      </w:r>
      <w:r>
        <w:rPr>
          <w:sz w:val="24"/>
        </w:rPr>
        <w:t>with</w:t>
      </w:r>
      <w:r>
        <w:rPr>
          <w:spacing w:val="-5"/>
          <w:sz w:val="24"/>
        </w:rPr>
        <w:t> </w:t>
      </w:r>
      <w:r>
        <w:rPr>
          <w:sz w:val="24"/>
        </w:rPr>
        <w:t>a</w:t>
      </w:r>
      <w:r>
        <w:rPr>
          <w:spacing w:val="-3"/>
          <w:sz w:val="24"/>
        </w:rPr>
        <w:t> </w:t>
      </w:r>
      <w:r>
        <w:rPr>
          <w:sz w:val="24"/>
        </w:rPr>
        <w:t>rating</w:t>
      </w:r>
      <w:r>
        <w:rPr>
          <w:spacing w:val="-5"/>
          <w:sz w:val="24"/>
        </w:rPr>
        <w:t> </w:t>
      </w:r>
      <w:r>
        <w:rPr>
          <w:sz w:val="24"/>
        </w:rPr>
        <w:t>of</w:t>
      </w:r>
      <w:r>
        <w:rPr>
          <w:spacing w:val="-5"/>
          <w:sz w:val="24"/>
        </w:rPr>
        <w:t> </w:t>
      </w:r>
      <w:r>
        <w:rPr>
          <w:sz w:val="24"/>
        </w:rPr>
        <w:t>beyond</w:t>
      </w:r>
      <w:r>
        <w:rPr>
          <w:spacing w:val="-5"/>
          <w:sz w:val="24"/>
        </w:rPr>
        <w:t> </w:t>
      </w:r>
      <w:r>
        <w:rPr>
          <w:sz w:val="24"/>
        </w:rPr>
        <w:t>satisfactory</w:t>
      </w:r>
      <w:r>
        <w:rPr>
          <w:spacing w:val="-4"/>
          <w:sz w:val="24"/>
        </w:rPr>
        <w:t> </w:t>
      </w:r>
      <w:r>
        <w:rPr>
          <w:sz w:val="24"/>
        </w:rPr>
        <w:t>in</w:t>
      </w:r>
      <w:r>
        <w:rPr>
          <w:spacing w:val="-2"/>
          <w:sz w:val="24"/>
        </w:rPr>
        <w:t> </w:t>
      </w:r>
      <w:r>
        <w:rPr>
          <w:sz w:val="24"/>
        </w:rPr>
        <w:t>each</w:t>
      </w:r>
      <w:r>
        <w:rPr>
          <w:spacing w:val="-2"/>
          <w:sz w:val="24"/>
        </w:rPr>
        <w:t> </w:t>
      </w:r>
      <w:r>
        <w:rPr>
          <w:sz w:val="24"/>
        </w:rPr>
        <w:t>category of evaluation (teaching and service). Compared to the binned case, any weakness in one category may be offset by greater strength in another </w:t>
      </w:r>
      <w:r>
        <w:rPr>
          <w:spacing w:val="-2"/>
          <w:sz w:val="24"/>
        </w:rPr>
        <w:t>category.</w:t>
      </w:r>
    </w:p>
    <w:p>
      <w:pPr>
        <w:pStyle w:val="ListParagraph"/>
        <w:numPr>
          <w:ilvl w:val="1"/>
          <w:numId w:val="5"/>
        </w:numPr>
        <w:tabs>
          <w:tab w:pos="1918" w:val="left" w:leader="none"/>
          <w:tab w:pos="1920" w:val="left" w:leader="none"/>
        </w:tabs>
        <w:spacing w:line="240" w:lineRule="auto" w:before="0" w:after="0"/>
        <w:ind w:left="1920" w:right="113" w:hanging="360"/>
        <w:jc w:val="left"/>
        <w:rPr>
          <w:sz w:val="22"/>
        </w:rPr>
      </w:pPr>
      <w:bookmarkStart w:name="3. Balanced-Integrative: an integration " w:id="19"/>
      <w:bookmarkEnd w:id="19"/>
      <w:r>
        <w:rPr/>
      </w:r>
      <w:r>
        <w:rPr>
          <w:sz w:val="24"/>
        </w:rPr>
        <w:t>Balanced-Integrative: an integration among accomplishments according to a specified philosophy or focus. The balanced-integrated case requires that the Clinical faculty member achieve overall excellence with a rating beyond satisfactory</w:t>
      </w:r>
      <w:r>
        <w:rPr>
          <w:spacing w:val="-4"/>
          <w:sz w:val="24"/>
        </w:rPr>
        <w:t> </w:t>
      </w:r>
      <w:r>
        <w:rPr>
          <w:sz w:val="24"/>
        </w:rPr>
        <w:t>in</w:t>
      </w:r>
      <w:r>
        <w:rPr>
          <w:spacing w:val="-5"/>
          <w:sz w:val="24"/>
        </w:rPr>
        <w:t> </w:t>
      </w:r>
      <w:r>
        <w:rPr>
          <w:sz w:val="24"/>
        </w:rPr>
        <w:t>each</w:t>
      </w:r>
      <w:r>
        <w:rPr>
          <w:spacing w:val="-5"/>
          <w:sz w:val="24"/>
        </w:rPr>
        <w:t> </w:t>
      </w:r>
      <w:r>
        <w:rPr>
          <w:sz w:val="24"/>
        </w:rPr>
        <w:t>category</w:t>
      </w:r>
      <w:r>
        <w:rPr>
          <w:spacing w:val="-4"/>
          <w:sz w:val="24"/>
        </w:rPr>
        <w:t> </w:t>
      </w:r>
      <w:r>
        <w:rPr>
          <w:sz w:val="24"/>
        </w:rPr>
        <w:t>of</w:t>
      </w:r>
      <w:r>
        <w:rPr>
          <w:spacing w:val="-5"/>
          <w:sz w:val="24"/>
        </w:rPr>
        <w:t> </w:t>
      </w:r>
      <w:r>
        <w:rPr>
          <w:sz w:val="24"/>
        </w:rPr>
        <w:t>evaluation</w:t>
      </w:r>
      <w:r>
        <w:rPr>
          <w:spacing w:val="-2"/>
          <w:sz w:val="24"/>
        </w:rPr>
        <w:t> </w:t>
      </w:r>
      <w:r>
        <w:rPr>
          <w:sz w:val="24"/>
        </w:rPr>
        <w:t>(teaching</w:t>
      </w:r>
      <w:r>
        <w:rPr>
          <w:spacing w:val="-4"/>
          <w:sz w:val="24"/>
        </w:rPr>
        <w:t> </w:t>
      </w:r>
      <w:r>
        <w:rPr>
          <w:sz w:val="24"/>
        </w:rPr>
        <w:t>and</w:t>
      </w:r>
      <w:r>
        <w:rPr>
          <w:spacing w:val="-2"/>
          <w:sz w:val="24"/>
        </w:rPr>
        <w:t> </w:t>
      </w:r>
      <w:r>
        <w:rPr>
          <w:sz w:val="24"/>
        </w:rPr>
        <w:t>service).</w:t>
      </w:r>
      <w:r>
        <w:rPr>
          <w:spacing w:val="-4"/>
          <w:sz w:val="24"/>
        </w:rPr>
        <w:t> </w:t>
      </w:r>
      <w:r>
        <w:rPr>
          <w:sz w:val="24"/>
        </w:rPr>
        <w:t>Compared</w:t>
      </w:r>
      <w:r>
        <w:rPr>
          <w:spacing w:val="-5"/>
          <w:sz w:val="24"/>
        </w:rPr>
        <w:t> </w:t>
      </w:r>
      <w:r>
        <w:rPr>
          <w:sz w:val="24"/>
        </w:rPr>
        <w:t>to the binned case, any weakness in one category may be offset by greater strength in another category.</w:t>
      </w:r>
    </w:p>
    <w:p>
      <w:pPr>
        <w:pStyle w:val="BodyText"/>
      </w:pPr>
    </w:p>
    <w:p>
      <w:pPr>
        <w:pStyle w:val="BodyText"/>
        <w:ind w:left="840"/>
      </w:pPr>
      <w:r>
        <w:rPr/>
        <w:t>Candidates</w:t>
      </w:r>
      <w:r>
        <w:rPr>
          <w:spacing w:val="-4"/>
        </w:rPr>
        <w:t> </w:t>
      </w:r>
      <w:r>
        <w:rPr/>
        <w:t>undergoing</w:t>
      </w:r>
      <w:r>
        <w:rPr>
          <w:spacing w:val="-2"/>
        </w:rPr>
        <w:t> </w:t>
      </w:r>
      <w:r>
        <w:rPr/>
        <w:t>consideration</w:t>
      </w:r>
      <w:r>
        <w:rPr>
          <w:spacing w:val="-2"/>
        </w:rPr>
        <w:t> </w:t>
      </w:r>
      <w:r>
        <w:rPr/>
        <w:t>for</w:t>
      </w:r>
      <w:r>
        <w:rPr>
          <w:spacing w:val="-4"/>
        </w:rPr>
        <w:t> </w:t>
      </w:r>
      <w:r>
        <w:rPr/>
        <w:t>a promotion</w:t>
      </w:r>
      <w:r>
        <w:rPr>
          <w:spacing w:val="-3"/>
        </w:rPr>
        <w:t> </w:t>
      </w:r>
      <w:r>
        <w:rPr/>
        <w:t>in</w:t>
      </w:r>
      <w:r>
        <w:rPr>
          <w:spacing w:val="-2"/>
        </w:rPr>
        <w:t> </w:t>
      </w:r>
      <w:r>
        <w:rPr/>
        <w:t>rank</w:t>
      </w:r>
      <w:r>
        <w:rPr>
          <w:spacing w:val="-3"/>
        </w:rPr>
        <w:t> </w:t>
      </w:r>
      <w:r>
        <w:rPr/>
        <w:t>shall choose</w:t>
      </w:r>
      <w:r>
        <w:rPr>
          <w:spacing w:val="-3"/>
        </w:rPr>
        <w:t> </w:t>
      </w:r>
      <w:r>
        <w:rPr/>
        <w:t>either </w:t>
      </w:r>
      <w:r>
        <w:rPr>
          <w:spacing w:val="-2"/>
        </w:rPr>
        <w:t>option</w:t>
      </w:r>
    </w:p>
    <w:p>
      <w:pPr>
        <w:pStyle w:val="BodyText"/>
        <w:ind w:left="119"/>
      </w:pPr>
      <w:r>
        <w:rPr/>
        <w:t>(a)</w:t>
      </w:r>
      <w:r>
        <w:rPr>
          <w:spacing w:val="-2"/>
        </w:rPr>
        <w:t> </w:t>
      </w:r>
      <w:r>
        <w:rPr/>
        <w:t>or,</w:t>
      </w:r>
      <w:r>
        <w:rPr>
          <w:spacing w:val="-1"/>
        </w:rPr>
        <w:t> </w:t>
      </w:r>
      <w:r>
        <w:rPr/>
        <w:t>instead,</w:t>
      </w:r>
      <w:r>
        <w:rPr>
          <w:spacing w:val="-4"/>
        </w:rPr>
        <w:t> </w:t>
      </w:r>
      <w:r>
        <w:rPr/>
        <w:t>option (b1,</w:t>
      </w:r>
      <w:r>
        <w:rPr>
          <w:spacing w:val="-1"/>
        </w:rPr>
        <w:t> </w:t>
      </w:r>
      <w:r>
        <w:rPr/>
        <w:t>b2,</w:t>
      </w:r>
      <w:r>
        <w:rPr>
          <w:spacing w:val="-1"/>
        </w:rPr>
        <w:t> </w:t>
      </w:r>
      <w:r>
        <w:rPr/>
        <w:t>or</w:t>
      </w:r>
      <w:r>
        <w:rPr>
          <w:spacing w:val="-4"/>
        </w:rPr>
        <w:t> </w:t>
      </w:r>
      <w:r>
        <w:rPr/>
        <w:t>b3)</w:t>
      </w:r>
      <w:r>
        <w:rPr>
          <w:spacing w:val="-2"/>
        </w:rPr>
        <w:t> </w:t>
      </w:r>
      <w:r>
        <w:rPr/>
        <w:t>as</w:t>
      </w:r>
      <w:r>
        <w:rPr>
          <w:spacing w:val="-2"/>
        </w:rPr>
        <w:t> </w:t>
      </w:r>
      <w:r>
        <w:rPr/>
        <w:t>the</w:t>
      </w:r>
      <w:r>
        <w:rPr>
          <w:spacing w:val="-3"/>
        </w:rPr>
        <w:t> </w:t>
      </w:r>
      <w:r>
        <w:rPr/>
        <w:t>basis</w:t>
      </w:r>
      <w:r>
        <w:rPr>
          <w:spacing w:val="-5"/>
        </w:rPr>
        <w:t> </w:t>
      </w:r>
      <w:r>
        <w:rPr/>
        <w:t>their</w:t>
      </w:r>
      <w:r>
        <w:rPr>
          <w:spacing w:val="-4"/>
        </w:rPr>
        <w:t> </w:t>
      </w:r>
      <w:r>
        <w:rPr/>
        <w:t>promotion</w:t>
      </w:r>
      <w:r>
        <w:rPr>
          <w:spacing w:val="-3"/>
        </w:rPr>
        <w:t> </w:t>
      </w:r>
      <w:r>
        <w:rPr/>
        <w:t>case.</w:t>
      </w:r>
      <w:r>
        <w:rPr>
          <w:spacing w:val="-2"/>
        </w:rPr>
        <w:t> </w:t>
      </w:r>
      <w:r>
        <w:rPr/>
        <w:t>All</w:t>
      </w:r>
      <w:r>
        <w:rPr>
          <w:spacing w:val="-4"/>
        </w:rPr>
        <w:t> </w:t>
      </w:r>
      <w:r>
        <w:rPr/>
        <w:t>evaluating</w:t>
      </w:r>
      <w:r>
        <w:rPr>
          <w:spacing w:val="-4"/>
        </w:rPr>
        <w:t> </w:t>
      </w:r>
      <w:r>
        <w:rPr/>
        <w:t>parties</w:t>
      </w:r>
      <w:r>
        <w:rPr>
          <w:spacing w:val="-4"/>
        </w:rPr>
        <w:t> </w:t>
      </w:r>
      <w:r>
        <w:rPr/>
        <w:t>who participate in the review process, at whatever stage, assess the candidate’s record in light of the candidate’s chosen basis of the case.</w:t>
      </w:r>
      <w:r>
        <w:rPr>
          <w:spacing w:val="40"/>
        </w:rPr>
        <w:t> </w:t>
      </w:r>
      <w:r>
        <w:rPr/>
        <w:t>(Discussion of the promotion review process appears in Section III(C), below.)</w:t>
      </w:r>
    </w:p>
    <w:p>
      <w:pPr>
        <w:pStyle w:val="BodyText"/>
        <w:spacing w:before="292"/>
        <w:ind w:left="119" w:firstLine="720"/>
      </w:pPr>
      <w:r>
        <w:rPr/>
        <w:t>For examples of considerations potentially relevant to the determination of whether the Clinical</w:t>
      </w:r>
      <w:r>
        <w:rPr>
          <w:spacing w:val="-2"/>
        </w:rPr>
        <w:t> </w:t>
      </w:r>
      <w:r>
        <w:rPr/>
        <w:t>faculty</w:t>
      </w:r>
      <w:r>
        <w:rPr>
          <w:spacing w:val="-3"/>
        </w:rPr>
        <w:t> </w:t>
      </w:r>
      <w:r>
        <w:rPr/>
        <w:t>member</w:t>
      </w:r>
      <w:r>
        <w:rPr>
          <w:spacing w:val="-6"/>
        </w:rPr>
        <w:t> </w:t>
      </w:r>
      <w:r>
        <w:rPr/>
        <w:t>merits</w:t>
      </w:r>
      <w:r>
        <w:rPr>
          <w:spacing w:val="-3"/>
        </w:rPr>
        <w:t> </w:t>
      </w:r>
      <w:r>
        <w:rPr/>
        <w:t>a</w:t>
      </w:r>
      <w:r>
        <w:rPr>
          <w:spacing w:val="-5"/>
        </w:rPr>
        <w:t> </w:t>
      </w:r>
      <w:r>
        <w:rPr/>
        <w:t>teaching</w:t>
      </w:r>
      <w:r>
        <w:rPr>
          <w:spacing w:val="-5"/>
        </w:rPr>
        <w:t> </w:t>
      </w:r>
      <w:r>
        <w:rPr/>
        <w:t>rating</w:t>
      </w:r>
      <w:r>
        <w:rPr>
          <w:spacing w:val="-5"/>
        </w:rPr>
        <w:t> </w:t>
      </w:r>
      <w:r>
        <w:rPr/>
        <w:t>of</w:t>
      </w:r>
      <w:r>
        <w:rPr>
          <w:spacing w:val="-1"/>
        </w:rPr>
        <w:t> </w:t>
      </w:r>
      <w:r>
        <w:rPr>
          <w:i/>
        </w:rPr>
        <w:t>excellent</w:t>
      </w:r>
      <w:r>
        <w:rPr>
          <w:i/>
          <w:spacing w:val="-4"/>
        </w:rPr>
        <w:t> </w:t>
      </w:r>
      <w:r>
        <w:rPr/>
        <w:t>or</w:t>
      </w:r>
      <w:r>
        <w:rPr>
          <w:spacing w:val="-2"/>
        </w:rPr>
        <w:t> </w:t>
      </w:r>
      <w:r>
        <w:rPr>
          <w:i/>
        </w:rPr>
        <w:t>highly</w:t>
      </w:r>
      <w:r>
        <w:rPr>
          <w:i/>
          <w:spacing w:val="-2"/>
        </w:rPr>
        <w:t> </w:t>
      </w:r>
      <w:r>
        <w:rPr>
          <w:i/>
        </w:rPr>
        <w:t>satisfactory</w:t>
      </w:r>
      <w:r>
        <w:rPr>
          <w:i/>
          <w:spacing w:val="-2"/>
        </w:rPr>
        <w:t> </w:t>
      </w:r>
      <w:r>
        <w:rPr/>
        <w:t>or</w:t>
      </w:r>
      <w:r>
        <w:rPr>
          <w:spacing w:val="-5"/>
        </w:rPr>
        <w:t> </w:t>
      </w:r>
      <w:r>
        <w:rPr>
          <w:i/>
        </w:rPr>
        <w:t>satisfactory</w:t>
      </w:r>
      <w:r>
        <w:rPr/>
        <w:t>, see the listing in Section IV. That listing of potentially relevant considerations is meant to be illustrative and is not meant to be all-inclusive. Neither is it meant to suggest that evidence pertaining to each of the listed considerations must be present in order for a teaching rating of </w:t>
      </w:r>
      <w:r>
        <w:rPr>
          <w:i/>
        </w:rPr>
        <w:t>excellent </w:t>
      </w:r>
      <w:r>
        <w:rPr/>
        <w:t>or </w:t>
      </w:r>
      <w:r>
        <w:rPr>
          <w:i/>
        </w:rPr>
        <w:t>highly satisfactory </w:t>
      </w:r>
      <w:r>
        <w:rPr/>
        <w:t>or </w:t>
      </w:r>
      <w:r>
        <w:rPr>
          <w:i/>
        </w:rPr>
        <w:t>satisfactory </w:t>
      </w:r>
      <w:r>
        <w:rPr/>
        <w:t>to be warranted.</w:t>
      </w:r>
    </w:p>
    <w:p>
      <w:pPr>
        <w:pStyle w:val="BodyText"/>
        <w:spacing w:before="1"/>
      </w:pPr>
    </w:p>
    <w:p>
      <w:pPr>
        <w:pStyle w:val="BodyText"/>
        <w:ind w:left="119" w:right="182" w:firstLine="720"/>
      </w:pPr>
      <w:r>
        <w:rPr/>
        <w:t>To be considered excellent in teaching or service on the IUPUI campus, the faculty member</w:t>
      </w:r>
      <w:r>
        <w:rPr>
          <w:spacing w:val="-2"/>
        </w:rPr>
        <w:t> </w:t>
      </w:r>
      <w:r>
        <w:rPr/>
        <w:t>must have academic and/or</w:t>
      </w:r>
      <w:r>
        <w:rPr>
          <w:spacing w:val="-2"/>
        </w:rPr>
        <w:t> </w:t>
      </w:r>
      <w:r>
        <w:rPr/>
        <w:t>professional</w:t>
      </w:r>
      <w:r>
        <w:rPr>
          <w:spacing w:val="-2"/>
        </w:rPr>
        <w:t> </w:t>
      </w:r>
      <w:r>
        <w:rPr>
          <w:i/>
        </w:rPr>
        <w:t>peer-reviewed</w:t>
      </w:r>
      <w:r>
        <w:rPr>
          <w:i/>
          <w:spacing w:val="-1"/>
        </w:rPr>
        <w:t> </w:t>
      </w:r>
      <w:r>
        <w:rPr>
          <w:i/>
        </w:rPr>
        <w:t>scholarship</w:t>
      </w:r>
      <w:r>
        <w:rPr>
          <w:i/>
          <w:spacing w:val="-1"/>
        </w:rPr>
        <w:t> </w:t>
      </w:r>
      <w:r>
        <w:rPr/>
        <w:t>to support</w:t>
      </w:r>
      <w:r>
        <w:rPr>
          <w:spacing w:val="-1"/>
        </w:rPr>
        <w:t> </w:t>
      </w:r>
      <w:r>
        <w:rPr/>
        <w:t>that area,</w:t>
      </w:r>
      <w:r>
        <w:rPr>
          <w:spacing w:val="-3"/>
        </w:rPr>
        <w:t> </w:t>
      </w:r>
      <w:r>
        <w:rPr/>
        <w:t>either</w:t>
      </w:r>
      <w:r>
        <w:rPr>
          <w:spacing w:val="-3"/>
        </w:rPr>
        <w:t> </w:t>
      </w:r>
      <w:r>
        <w:rPr/>
        <w:t>scholarship</w:t>
      </w:r>
      <w:r>
        <w:rPr>
          <w:spacing w:val="-7"/>
        </w:rPr>
        <w:t> </w:t>
      </w:r>
      <w:r>
        <w:rPr/>
        <w:t>of</w:t>
      </w:r>
      <w:r>
        <w:rPr>
          <w:spacing w:val="-5"/>
        </w:rPr>
        <w:t> </w:t>
      </w:r>
      <w:r>
        <w:rPr/>
        <w:t>teaching</w:t>
      </w:r>
      <w:r>
        <w:rPr>
          <w:spacing w:val="-4"/>
        </w:rPr>
        <w:t> </w:t>
      </w:r>
      <w:r>
        <w:rPr/>
        <w:t>or</w:t>
      </w:r>
      <w:r>
        <w:rPr>
          <w:spacing w:val="-6"/>
        </w:rPr>
        <w:t> </w:t>
      </w:r>
      <w:r>
        <w:rPr/>
        <w:t>scholarship</w:t>
      </w:r>
      <w:r>
        <w:rPr>
          <w:spacing w:val="-2"/>
        </w:rPr>
        <w:t> </w:t>
      </w:r>
      <w:r>
        <w:rPr/>
        <w:t>of</w:t>
      </w:r>
      <w:r>
        <w:rPr>
          <w:spacing w:val="-2"/>
        </w:rPr>
        <w:t> </w:t>
      </w:r>
      <w:r>
        <w:rPr/>
        <w:t>service.</w:t>
      </w:r>
      <w:r>
        <w:rPr>
          <w:spacing w:val="-7"/>
        </w:rPr>
        <w:t> </w:t>
      </w:r>
      <w:r>
        <w:rPr/>
        <w:t>To</w:t>
      </w:r>
      <w:r>
        <w:rPr>
          <w:spacing w:val="-5"/>
        </w:rPr>
        <w:t> </w:t>
      </w:r>
      <w:r>
        <w:rPr/>
        <w:t>support</w:t>
      </w:r>
      <w:r>
        <w:rPr>
          <w:spacing w:val="-7"/>
        </w:rPr>
        <w:t> </w:t>
      </w:r>
      <w:r>
        <w:rPr/>
        <w:t>a</w:t>
      </w:r>
      <w:r>
        <w:rPr>
          <w:spacing w:val="-8"/>
        </w:rPr>
        <w:t> </w:t>
      </w:r>
      <w:r>
        <w:rPr/>
        <w:t>balanced</w:t>
      </w:r>
      <w:r>
        <w:rPr>
          <w:spacing w:val="-5"/>
        </w:rPr>
        <w:t> </w:t>
      </w:r>
      <w:r>
        <w:rPr/>
        <w:t>case,</w:t>
      </w:r>
      <w:r>
        <w:rPr>
          <w:spacing w:val="-6"/>
        </w:rPr>
        <w:t> </w:t>
      </w:r>
      <w:r>
        <w:rPr/>
        <w:t>the faculty member needs academic and/or professional peer-reviewed scholarship in teaching, service, or both.</w:t>
      </w:r>
    </w:p>
    <w:p>
      <w:pPr>
        <w:spacing w:after="0"/>
        <w:sectPr>
          <w:pgSz w:w="12240" w:h="15840"/>
          <w:pgMar w:header="0" w:footer="1712" w:top="1400" w:bottom="1980" w:left="1320" w:right="1180"/>
        </w:sectPr>
      </w:pPr>
    </w:p>
    <w:p>
      <w:pPr>
        <w:pStyle w:val="BodyText"/>
        <w:spacing w:before="32"/>
        <w:ind w:left="119" w:firstLine="720"/>
      </w:pPr>
      <w:r>
        <w:rPr/>
        <w:t>In addition to their teaching and service contributions at Kelley Indianapolis, full-time Clinical</w:t>
      </w:r>
      <w:r>
        <w:rPr>
          <w:spacing w:val="-2"/>
        </w:rPr>
        <w:t> </w:t>
      </w:r>
      <w:r>
        <w:rPr/>
        <w:t>faculty</w:t>
      </w:r>
      <w:r>
        <w:rPr>
          <w:spacing w:val="-3"/>
        </w:rPr>
        <w:t> </w:t>
      </w:r>
      <w:r>
        <w:rPr/>
        <w:t>with</w:t>
      </w:r>
      <w:r>
        <w:rPr>
          <w:spacing w:val="-4"/>
        </w:rPr>
        <w:t> </w:t>
      </w:r>
      <w:r>
        <w:rPr/>
        <w:t>terminal</w:t>
      </w:r>
      <w:r>
        <w:rPr>
          <w:spacing w:val="-2"/>
        </w:rPr>
        <w:t> </w:t>
      </w:r>
      <w:r>
        <w:rPr/>
        <w:t>degrees</w:t>
      </w:r>
      <w:r>
        <w:rPr>
          <w:spacing w:val="-5"/>
        </w:rPr>
        <w:t> </w:t>
      </w:r>
      <w:r>
        <w:rPr/>
        <w:t>(e.g.,</w:t>
      </w:r>
      <w:r>
        <w:rPr>
          <w:spacing w:val="-3"/>
        </w:rPr>
        <w:t> </w:t>
      </w:r>
      <w:r>
        <w:rPr/>
        <w:t>PhD,</w:t>
      </w:r>
      <w:r>
        <w:rPr>
          <w:spacing w:val="-2"/>
        </w:rPr>
        <w:t> </w:t>
      </w:r>
      <w:r>
        <w:rPr/>
        <w:t>JD)</w:t>
      </w:r>
      <w:r>
        <w:rPr>
          <w:spacing w:val="-3"/>
        </w:rPr>
        <w:t> </w:t>
      </w:r>
      <w:r>
        <w:rPr/>
        <w:t>who</w:t>
      </w:r>
      <w:r>
        <w:rPr>
          <w:spacing w:val="-2"/>
        </w:rPr>
        <w:t> </w:t>
      </w:r>
      <w:r>
        <w:rPr/>
        <w:t>are</w:t>
      </w:r>
      <w:r>
        <w:rPr>
          <w:spacing w:val="-2"/>
        </w:rPr>
        <w:t> </w:t>
      </w:r>
      <w:r>
        <w:rPr/>
        <w:t>eligible</w:t>
      </w:r>
      <w:r>
        <w:rPr>
          <w:spacing w:val="-4"/>
        </w:rPr>
        <w:t> </w:t>
      </w:r>
      <w:r>
        <w:rPr/>
        <w:t>for</w:t>
      </w:r>
      <w:r>
        <w:rPr>
          <w:spacing w:val="-5"/>
        </w:rPr>
        <w:t> </w:t>
      </w:r>
      <w:r>
        <w:rPr/>
        <w:t>Scholarly</w:t>
      </w:r>
      <w:r>
        <w:rPr>
          <w:spacing w:val="-3"/>
        </w:rPr>
        <w:t> </w:t>
      </w:r>
      <w:r>
        <w:rPr/>
        <w:t>Academic</w:t>
      </w:r>
      <w:r>
        <w:rPr>
          <w:spacing w:val="-3"/>
        </w:rPr>
        <w:t> </w:t>
      </w:r>
      <w:r>
        <w:rPr/>
        <w:t>(SA) status are expected to maintain SA status,</w:t>
      </w:r>
      <w:hyperlink w:history="true" w:anchor="_bookmark8">
        <w:r>
          <w:rPr>
            <w:vertAlign w:val="superscript"/>
          </w:rPr>
          <w:t>9</w:t>
        </w:r>
      </w:hyperlink>
      <w:r>
        <w:rPr>
          <w:vertAlign w:val="baseline"/>
        </w:rPr>
        <w:t> [as defined jointly by The Association to Advance Collegiate Schools of Business (AACSB) and the Kelley School of Business]</w:t>
      </w:r>
    </w:p>
    <w:p>
      <w:pPr>
        <w:pStyle w:val="Heading1"/>
        <w:numPr>
          <w:ilvl w:val="1"/>
          <w:numId w:val="1"/>
        </w:numPr>
        <w:tabs>
          <w:tab w:pos="420" w:val="left" w:leader="none"/>
        </w:tabs>
        <w:spacing w:line="240" w:lineRule="auto" w:before="292" w:after="0"/>
        <w:ind w:left="420" w:right="0" w:hanging="301"/>
        <w:jc w:val="left"/>
      </w:pPr>
      <w:r>
        <w:rPr/>
        <w:t>Promotion</w:t>
      </w:r>
      <w:r>
        <w:rPr>
          <w:spacing w:val="-5"/>
        </w:rPr>
        <w:t> </w:t>
      </w:r>
      <w:r>
        <w:rPr/>
        <w:t>Decisions:</w:t>
      </w:r>
      <w:r>
        <w:rPr>
          <w:spacing w:val="-5"/>
        </w:rPr>
        <w:t> </w:t>
      </w:r>
      <w:r>
        <w:rPr>
          <w:spacing w:val="-2"/>
        </w:rPr>
        <w:t>Procedure</w:t>
      </w:r>
    </w:p>
    <w:p>
      <w:pPr>
        <w:pStyle w:val="BodyText"/>
        <w:spacing w:before="2"/>
        <w:rPr>
          <w:b/>
        </w:rPr>
      </w:pPr>
    </w:p>
    <w:p>
      <w:pPr>
        <w:pStyle w:val="BodyText"/>
        <w:ind w:left="120" w:right="191" w:firstLine="720"/>
      </w:pPr>
      <w:r>
        <w:rPr/>
        <w:t>A</w:t>
      </w:r>
      <w:r>
        <w:rPr>
          <w:spacing w:val="-2"/>
        </w:rPr>
        <w:t> </w:t>
      </w:r>
      <w:r>
        <w:rPr/>
        <w:t>Clinical</w:t>
      </w:r>
      <w:r>
        <w:rPr>
          <w:spacing w:val="-5"/>
        </w:rPr>
        <w:t> </w:t>
      </w:r>
      <w:r>
        <w:rPr/>
        <w:t>faculty</w:t>
      </w:r>
      <w:r>
        <w:rPr>
          <w:spacing w:val="-6"/>
        </w:rPr>
        <w:t> </w:t>
      </w:r>
      <w:r>
        <w:rPr/>
        <w:t>member’s</w:t>
      </w:r>
      <w:r>
        <w:rPr>
          <w:spacing w:val="-3"/>
        </w:rPr>
        <w:t> </w:t>
      </w:r>
      <w:r>
        <w:rPr/>
        <w:t>promotion</w:t>
      </w:r>
      <w:r>
        <w:rPr>
          <w:spacing w:val="-1"/>
        </w:rPr>
        <w:t> </w:t>
      </w:r>
      <w:r>
        <w:rPr/>
        <w:t>case</w:t>
      </w:r>
      <w:r>
        <w:rPr>
          <w:spacing w:val="-4"/>
        </w:rPr>
        <w:t> </w:t>
      </w:r>
      <w:r>
        <w:rPr/>
        <w:t>normally</w:t>
      </w:r>
      <w:r>
        <w:rPr>
          <w:spacing w:val="-3"/>
        </w:rPr>
        <w:t> </w:t>
      </w:r>
      <w:r>
        <w:rPr/>
        <w:t>begins</w:t>
      </w:r>
      <w:r>
        <w:rPr>
          <w:spacing w:val="-6"/>
        </w:rPr>
        <w:t> </w:t>
      </w:r>
      <w:r>
        <w:rPr/>
        <w:t>after</w:t>
      </w:r>
      <w:r>
        <w:rPr>
          <w:spacing w:val="-5"/>
        </w:rPr>
        <w:t> </w:t>
      </w:r>
      <w:r>
        <w:rPr/>
        <w:t>the</w:t>
      </w:r>
      <w:r>
        <w:rPr>
          <w:spacing w:val="-2"/>
        </w:rPr>
        <w:t> </w:t>
      </w:r>
      <w:r>
        <w:rPr/>
        <w:t>candidate</w:t>
      </w:r>
      <w:r>
        <w:rPr>
          <w:spacing w:val="-4"/>
        </w:rPr>
        <w:t> </w:t>
      </w:r>
      <w:r>
        <w:rPr/>
        <w:t>consults with the Executive Associate Dean. However, the faculty member may choose to initiate a promotion case.</w:t>
      </w:r>
    </w:p>
    <w:p>
      <w:pPr>
        <w:pStyle w:val="BodyText"/>
        <w:spacing w:before="292"/>
        <w:ind w:left="120" w:right="343" w:firstLine="720"/>
        <w:jc w:val="both"/>
      </w:pPr>
      <w:r>
        <w:rPr/>
        <w:t>The</w:t>
      </w:r>
      <w:r>
        <w:rPr>
          <w:spacing w:val="-5"/>
        </w:rPr>
        <w:t> </w:t>
      </w:r>
      <w:r>
        <w:rPr/>
        <w:t>procedure</w:t>
      </w:r>
      <w:r>
        <w:rPr>
          <w:spacing w:val="-5"/>
        </w:rPr>
        <w:t> </w:t>
      </w:r>
      <w:r>
        <w:rPr/>
        <w:t>followed</w:t>
      </w:r>
      <w:r>
        <w:rPr>
          <w:spacing w:val="-6"/>
        </w:rPr>
        <w:t> </w:t>
      </w:r>
      <w:r>
        <w:rPr/>
        <w:t>within</w:t>
      </w:r>
      <w:r>
        <w:rPr>
          <w:spacing w:val="-5"/>
        </w:rPr>
        <w:t> </w:t>
      </w:r>
      <w:r>
        <w:rPr/>
        <w:t>the</w:t>
      </w:r>
      <w:r>
        <w:rPr>
          <w:spacing w:val="-3"/>
        </w:rPr>
        <w:t> </w:t>
      </w:r>
      <w:r>
        <w:rPr/>
        <w:t>Kelley</w:t>
      </w:r>
      <w:r>
        <w:rPr>
          <w:spacing w:val="-4"/>
        </w:rPr>
        <w:t> </w:t>
      </w:r>
      <w:r>
        <w:rPr/>
        <w:t>School</w:t>
      </w:r>
      <w:r>
        <w:rPr>
          <w:spacing w:val="-3"/>
        </w:rPr>
        <w:t> </w:t>
      </w:r>
      <w:r>
        <w:rPr/>
        <w:t>in</w:t>
      </w:r>
      <w:r>
        <w:rPr>
          <w:spacing w:val="-2"/>
        </w:rPr>
        <w:t> </w:t>
      </w:r>
      <w:r>
        <w:rPr/>
        <w:t>Clinical</w:t>
      </w:r>
      <w:r>
        <w:rPr>
          <w:spacing w:val="-6"/>
        </w:rPr>
        <w:t> </w:t>
      </w:r>
      <w:r>
        <w:rPr/>
        <w:t>faculty</w:t>
      </w:r>
      <w:r>
        <w:rPr>
          <w:spacing w:val="-4"/>
        </w:rPr>
        <w:t> </w:t>
      </w:r>
      <w:r>
        <w:rPr/>
        <w:t>members’</w:t>
      </w:r>
      <w:r>
        <w:rPr>
          <w:spacing w:val="-3"/>
        </w:rPr>
        <w:t> </w:t>
      </w:r>
      <w:r>
        <w:rPr/>
        <w:t>promotion cases</w:t>
      </w:r>
      <w:r>
        <w:rPr>
          <w:spacing w:val="-1"/>
        </w:rPr>
        <w:t> </w:t>
      </w:r>
      <w:r>
        <w:rPr/>
        <w:t>differs</w:t>
      </w:r>
      <w:r>
        <w:rPr>
          <w:spacing w:val="-1"/>
        </w:rPr>
        <w:t> </w:t>
      </w:r>
      <w:r>
        <w:rPr/>
        <w:t>significantly</w:t>
      </w:r>
      <w:r>
        <w:rPr>
          <w:spacing w:val="-4"/>
        </w:rPr>
        <w:t> </w:t>
      </w:r>
      <w:r>
        <w:rPr/>
        <w:t>from</w:t>
      </w:r>
      <w:r>
        <w:rPr>
          <w:spacing w:val="-3"/>
        </w:rPr>
        <w:t> </w:t>
      </w:r>
      <w:r>
        <w:rPr/>
        <w:t>the</w:t>
      </w:r>
      <w:r>
        <w:rPr>
          <w:spacing w:val="-3"/>
        </w:rPr>
        <w:t> </w:t>
      </w:r>
      <w:r>
        <w:rPr/>
        <w:t>procedure</w:t>
      </w:r>
      <w:r>
        <w:rPr>
          <w:spacing w:val="-2"/>
        </w:rPr>
        <w:t> </w:t>
      </w:r>
      <w:r>
        <w:rPr/>
        <w:t>used in</w:t>
      </w:r>
      <w:r>
        <w:rPr>
          <w:spacing w:val="-2"/>
        </w:rPr>
        <w:t> </w:t>
      </w:r>
      <w:r>
        <w:rPr/>
        <w:t>cases</w:t>
      </w:r>
      <w:r>
        <w:rPr>
          <w:spacing w:val="-1"/>
        </w:rPr>
        <w:t> </w:t>
      </w:r>
      <w:r>
        <w:rPr/>
        <w:t>dealing</w:t>
      </w:r>
      <w:r>
        <w:rPr>
          <w:spacing w:val="-3"/>
        </w:rPr>
        <w:t> </w:t>
      </w:r>
      <w:r>
        <w:rPr/>
        <w:t>with</w:t>
      </w:r>
      <w:r>
        <w:rPr>
          <w:spacing w:val="-2"/>
        </w:rPr>
        <w:t> </w:t>
      </w:r>
      <w:r>
        <w:rPr/>
        <w:t>whether</w:t>
      </w:r>
      <w:r>
        <w:rPr>
          <w:spacing w:val="-3"/>
        </w:rPr>
        <w:t> </w:t>
      </w:r>
      <w:r>
        <w:rPr/>
        <w:t>an initial non- probationary long-term appointment should be awarded. (See Section II(C)(4).)</w:t>
      </w:r>
    </w:p>
    <w:p>
      <w:pPr>
        <w:pStyle w:val="BodyText"/>
      </w:pPr>
    </w:p>
    <w:p>
      <w:pPr>
        <w:pStyle w:val="BodyText"/>
        <w:ind w:left="119" w:right="110" w:firstLine="720"/>
      </w:pPr>
      <w:r>
        <w:rPr/>
        <w:t>Promotion cases include an </w:t>
      </w:r>
      <w:r>
        <w:rPr>
          <w:i/>
        </w:rPr>
        <w:t>external reviewer requirement</w:t>
      </w:r>
      <w:r>
        <w:rPr/>
        <w:t>. When a Clinical faculty member’s promotion case is launched, reviewers from outside the Kelley School and Indiana University will be invited to evaluate the faculty member’s teaching and service records. In light of the stated basis of the promotion case, the external reviewer will be asked to evaluate the candidate</w:t>
      </w:r>
      <w:r>
        <w:rPr>
          <w:spacing w:val="-5"/>
        </w:rPr>
        <w:t> </w:t>
      </w:r>
      <w:r>
        <w:rPr/>
        <w:t>using</w:t>
      </w:r>
      <w:r>
        <w:rPr>
          <w:spacing w:val="-5"/>
        </w:rPr>
        <w:t> </w:t>
      </w:r>
      <w:r>
        <w:rPr/>
        <w:t>the</w:t>
      </w:r>
      <w:r>
        <w:rPr>
          <w:spacing w:val="-5"/>
        </w:rPr>
        <w:t> </w:t>
      </w:r>
      <w:r>
        <w:rPr/>
        <w:t>following</w:t>
      </w:r>
      <w:r>
        <w:rPr>
          <w:spacing w:val="-4"/>
        </w:rPr>
        <w:t> </w:t>
      </w:r>
      <w:r>
        <w:rPr/>
        <w:t>scale:</w:t>
      </w:r>
      <w:r>
        <w:rPr>
          <w:spacing w:val="-3"/>
        </w:rPr>
        <w:t> </w:t>
      </w:r>
      <w:r>
        <w:rPr/>
        <w:t>excellent,</w:t>
      </w:r>
      <w:r>
        <w:rPr>
          <w:spacing w:val="-5"/>
        </w:rPr>
        <w:t> </w:t>
      </w:r>
      <w:r>
        <w:rPr/>
        <w:t>highly</w:t>
      </w:r>
      <w:r>
        <w:rPr>
          <w:spacing w:val="-4"/>
        </w:rPr>
        <w:t> </w:t>
      </w:r>
      <w:r>
        <w:rPr/>
        <w:t>satisfactory,</w:t>
      </w:r>
      <w:r>
        <w:rPr>
          <w:spacing w:val="-3"/>
        </w:rPr>
        <w:t> </w:t>
      </w:r>
      <w:r>
        <w:rPr/>
        <w:t>satisfactory,</w:t>
      </w:r>
      <w:r>
        <w:rPr>
          <w:spacing w:val="-3"/>
        </w:rPr>
        <w:t> </w:t>
      </w:r>
      <w:r>
        <w:rPr/>
        <w:t>and</w:t>
      </w:r>
      <w:r>
        <w:rPr>
          <w:spacing w:val="-2"/>
        </w:rPr>
        <w:t> </w:t>
      </w:r>
      <w:r>
        <w:rPr/>
        <w:t>unsatisfactory. (See Section IV’s discussion of promotion criteria.) External reviewers must be at the rank being sought or higher.</w:t>
      </w:r>
    </w:p>
    <w:p>
      <w:pPr>
        <w:pStyle w:val="BodyText"/>
        <w:spacing w:before="1"/>
      </w:pPr>
    </w:p>
    <w:p>
      <w:pPr>
        <w:pStyle w:val="BodyText"/>
        <w:ind w:left="119" w:right="182" w:firstLine="720"/>
      </w:pPr>
      <w:r>
        <w:rPr/>
        <w:t>The process for identifying external reviewers calls for Executive Associate Dean and the promotion candidate to submit, to the Dean’s Office, separate lists of proposed external reviewers.</w:t>
      </w:r>
      <w:r>
        <w:rPr>
          <w:spacing w:val="-4"/>
        </w:rPr>
        <w:t> </w:t>
      </w:r>
      <w:r>
        <w:rPr/>
        <w:t>The</w:t>
      </w:r>
      <w:r>
        <w:rPr>
          <w:spacing w:val="-3"/>
        </w:rPr>
        <w:t> </w:t>
      </w:r>
      <w:r>
        <w:rPr/>
        <w:t>Dean’s</w:t>
      </w:r>
      <w:r>
        <w:rPr>
          <w:spacing w:val="-3"/>
        </w:rPr>
        <w:t> </w:t>
      </w:r>
      <w:r>
        <w:rPr/>
        <w:t>Office</w:t>
      </w:r>
      <w:r>
        <w:rPr>
          <w:spacing w:val="-2"/>
        </w:rPr>
        <w:t> </w:t>
      </w:r>
      <w:r>
        <w:rPr/>
        <w:t>then</w:t>
      </w:r>
      <w:r>
        <w:rPr>
          <w:spacing w:val="-1"/>
        </w:rPr>
        <w:t> </w:t>
      </w:r>
      <w:r>
        <w:rPr/>
        <w:t>selects</w:t>
      </w:r>
      <w:r>
        <w:rPr>
          <w:spacing w:val="-3"/>
        </w:rPr>
        <w:t> </w:t>
      </w:r>
      <w:r>
        <w:rPr/>
        <w:t>certain</w:t>
      </w:r>
      <w:r>
        <w:rPr>
          <w:spacing w:val="-3"/>
        </w:rPr>
        <w:t> </w:t>
      </w:r>
      <w:r>
        <w:rPr/>
        <w:t>persons</w:t>
      </w:r>
      <w:r>
        <w:rPr>
          <w:spacing w:val="-4"/>
        </w:rPr>
        <w:t> </w:t>
      </w:r>
      <w:r>
        <w:rPr/>
        <w:t>from</w:t>
      </w:r>
      <w:r>
        <w:rPr>
          <w:spacing w:val="-2"/>
        </w:rPr>
        <w:t> </w:t>
      </w:r>
      <w:r>
        <w:rPr/>
        <w:t>each</w:t>
      </w:r>
      <w:r>
        <w:rPr>
          <w:spacing w:val="-1"/>
        </w:rPr>
        <w:t> </w:t>
      </w:r>
      <w:r>
        <w:rPr/>
        <w:t>list,</w:t>
      </w:r>
      <w:r>
        <w:rPr>
          <w:spacing w:val="-2"/>
        </w:rPr>
        <w:t> </w:t>
      </w:r>
      <w:r>
        <w:rPr/>
        <w:t>invites</w:t>
      </w:r>
      <w:r>
        <w:rPr>
          <w:spacing w:val="-3"/>
        </w:rPr>
        <w:t> </w:t>
      </w:r>
      <w:r>
        <w:rPr/>
        <w:t>those</w:t>
      </w:r>
      <w:r>
        <w:rPr>
          <w:spacing w:val="-3"/>
        </w:rPr>
        <w:t> </w:t>
      </w:r>
      <w:r>
        <w:rPr/>
        <w:t>persons</w:t>
      </w:r>
      <w:r>
        <w:rPr>
          <w:spacing w:val="-4"/>
        </w:rPr>
        <w:t> </w:t>
      </w:r>
      <w:r>
        <w:rPr/>
        <w:t>to serve as external reviewers, and furnishes them materials that pertain to the candidate’s performance in teaching and service. The Dean’s</w:t>
      </w:r>
      <w:r>
        <w:rPr>
          <w:spacing w:val="-1"/>
        </w:rPr>
        <w:t> </w:t>
      </w:r>
      <w:r>
        <w:rPr/>
        <w:t>Office also asks each invited external reviewer to furnish, by a certain designated date, a letter that evaluates the promotion candidate’s teaching and service performance and offers an evaluation of the candidate’s performance on teaching and service. The external reviewers’ letters will be included in the candidate’s dossier for review</w:t>
      </w:r>
      <w:r>
        <w:rPr>
          <w:spacing w:val="-1"/>
        </w:rPr>
        <w:t> </w:t>
      </w:r>
      <w:r>
        <w:rPr/>
        <w:t>by various committees. (See</w:t>
      </w:r>
      <w:r>
        <w:rPr>
          <w:spacing w:val="-1"/>
        </w:rPr>
        <w:t> </w:t>
      </w:r>
      <w:r>
        <w:rPr/>
        <w:t>the following</w:t>
      </w:r>
      <w:r>
        <w:rPr>
          <w:spacing w:val="-2"/>
        </w:rPr>
        <w:t> </w:t>
      </w:r>
      <w:r>
        <w:rPr/>
        <w:t>discussion</w:t>
      </w:r>
      <w:r>
        <w:rPr>
          <w:spacing w:val="-1"/>
        </w:rPr>
        <w:t> </w:t>
      </w:r>
      <w:r>
        <w:rPr/>
        <w:t>of procedural</w:t>
      </w:r>
      <w:r>
        <w:rPr>
          <w:spacing w:val="-2"/>
        </w:rPr>
        <w:t> </w:t>
      </w:r>
      <w:r>
        <w:rPr/>
        <w:t>steps and stages.)</w:t>
      </w:r>
    </w:p>
    <w:p>
      <w:pPr>
        <w:pStyle w:val="ListParagraph"/>
        <w:numPr>
          <w:ilvl w:val="0"/>
          <w:numId w:val="6"/>
        </w:numPr>
        <w:tabs>
          <w:tab w:pos="1136" w:val="left" w:leader="none"/>
        </w:tabs>
        <w:spacing w:line="240" w:lineRule="auto" w:before="291" w:after="0"/>
        <w:ind w:left="120" w:right="384" w:firstLine="720"/>
        <w:jc w:val="left"/>
        <w:rPr>
          <w:b/>
          <w:i/>
          <w:sz w:val="24"/>
        </w:rPr>
      </w:pPr>
      <w:r>
        <w:rPr>
          <w:b/>
          <w:i/>
          <w:sz w:val="24"/>
        </w:rPr>
        <w:t>Procedural Steps and Stages of Review. </w:t>
      </w:r>
      <w:r>
        <w:rPr>
          <w:sz w:val="24"/>
        </w:rPr>
        <w:t>Promotion requires the preparation of a portfolio</w:t>
      </w:r>
      <w:r>
        <w:rPr>
          <w:spacing w:val="-3"/>
          <w:sz w:val="24"/>
        </w:rPr>
        <w:t> </w:t>
      </w:r>
      <w:r>
        <w:rPr>
          <w:sz w:val="24"/>
        </w:rPr>
        <w:t>or</w:t>
      </w:r>
      <w:r>
        <w:rPr>
          <w:spacing w:val="-4"/>
          <w:sz w:val="24"/>
        </w:rPr>
        <w:t> </w:t>
      </w:r>
      <w:r>
        <w:rPr>
          <w:sz w:val="24"/>
        </w:rPr>
        <w:t>dossier.</w:t>
      </w:r>
      <w:r>
        <w:rPr>
          <w:spacing w:val="-3"/>
          <w:sz w:val="24"/>
        </w:rPr>
        <w:t> </w:t>
      </w:r>
      <w:r>
        <w:rPr>
          <w:sz w:val="24"/>
        </w:rPr>
        <w:t>Faculty</w:t>
      </w:r>
      <w:r>
        <w:rPr>
          <w:spacing w:val="-3"/>
          <w:sz w:val="24"/>
        </w:rPr>
        <w:t> </w:t>
      </w:r>
      <w:r>
        <w:rPr>
          <w:sz w:val="24"/>
        </w:rPr>
        <w:t>interested</w:t>
      </w:r>
      <w:r>
        <w:rPr>
          <w:spacing w:val="-3"/>
          <w:sz w:val="24"/>
        </w:rPr>
        <w:t> </w:t>
      </w:r>
      <w:r>
        <w:rPr>
          <w:sz w:val="24"/>
        </w:rPr>
        <w:t>in</w:t>
      </w:r>
      <w:r>
        <w:rPr>
          <w:spacing w:val="-3"/>
          <w:sz w:val="24"/>
        </w:rPr>
        <w:t> </w:t>
      </w:r>
      <w:r>
        <w:rPr>
          <w:sz w:val="24"/>
        </w:rPr>
        <w:t>promotion</w:t>
      </w:r>
      <w:r>
        <w:rPr>
          <w:spacing w:val="-1"/>
          <w:sz w:val="24"/>
        </w:rPr>
        <w:t> </w:t>
      </w:r>
      <w:r>
        <w:rPr>
          <w:sz w:val="24"/>
        </w:rPr>
        <w:t>should</w:t>
      </w:r>
      <w:r>
        <w:rPr>
          <w:spacing w:val="-3"/>
          <w:sz w:val="24"/>
        </w:rPr>
        <w:t> </w:t>
      </w:r>
      <w:r>
        <w:rPr>
          <w:sz w:val="24"/>
        </w:rPr>
        <w:t>discuss</w:t>
      </w:r>
      <w:r>
        <w:rPr>
          <w:spacing w:val="-3"/>
          <w:sz w:val="24"/>
        </w:rPr>
        <w:t> </w:t>
      </w:r>
      <w:r>
        <w:rPr>
          <w:sz w:val="24"/>
        </w:rPr>
        <w:t>the</w:t>
      </w:r>
      <w:r>
        <w:rPr>
          <w:spacing w:val="-2"/>
          <w:sz w:val="24"/>
        </w:rPr>
        <w:t> </w:t>
      </w:r>
      <w:r>
        <w:rPr>
          <w:sz w:val="24"/>
        </w:rPr>
        <w:t>issue</w:t>
      </w:r>
      <w:r>
        <w:rPr>
          <w:spacing w:val="-3"/>
          <w:sz w:val="24"/>
        </w:rPr>
        <w:t> </w:t>
      </w:r>
      <w:r>
        <w:rPr>
          <w:sz w:val="24"/>
        </w:rPr>
        <w:t>during</w:t>
      </w:r>
      <w:r>
        <w:rPr>
          <w:spacing w:val="-3"/>
          <w:sz w:val="24"/>
        </w:rPr>
        <w:t> </w:t>
      </w:r>
      <w:r>
        <w:rPr>
          <w:sz w:val="24"/>
        </w:rPr>
        <w:t>the</w:t>
      </w:r>
      <w:r>
        <w:rPr>
          <w:spacing w:val="-3"/>
          <w:sz w:val="24"/>
        </w:rPr>
        <w:t> </w:t>
      </w:r>
      <w:r>
        <w:rPr>
          <w:sz w:val="24"/>
        </w:rPr>
        <w:t>faculty member’s annual review at least one or two years prior to the year in which the faculty seeks </w:t>
      </w:r>
      <w:r>
        <w:rPr>
          <w:spacing w:val="-2"/>
          <w:sz w:val="24"/>
        </w:rPr>
        <w:t>promotion.</w:t>
      </w:r>
    </w:p>
    <w:p>
      <w:pPr>
        <w:pStyle w:val="BodyText"/>
        <w:rPr>
          <w:sz w:val="20"/>
        </w:rPr>
      </w:pPr>
    </w:p>
    <w:p>
      <w:pPr>
        <w:pStyle w:val="BodyText"/>
        <w:spacing w:before="188"/>
        <w:rPr>
          <w:sz w:val="20"/>
        </w:rPr>
      </w:pPr>
      <w:r>
        <w:rPr/>
        <mc:AlternateContent>
          <mc:Choice Requires="wps">
            <w:drawing>
              <wp:anchor distT="0" distB="0" distL="0" distR="0" allowOverlap="1" layoutInCell="1" locked="0" behindDoc="1" simplePos="0" relativeHeight="487591424">
                <wp:simplePos x="0" y="0"/>
                <wp:positionH relativeFrom="page">
                  <wp:posOffset>914400</wp:posOffset>
                </wp:positionH>
                <wp:positionV relativeFrom="paragraph">
                  <wp:posOffset>290145</wp:posOffset>
                </wp:positionV>
                <wp:extent cx="1828800" cy="762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2.846094pt;width:144pt;height:.6pt;mso-position-horizontal-relative:page;mso-position-vertical-relative:paragraph;z-index:-15725056;mso-wrap-distance-left:0;mso-wrap-distance-right:0" id="docshape8" filled="true" fillcolor="#000000" stroked="false">
                <v:fill type="solid"/>
                <w10:wrap type="topAndBottom"/>
              </v:rect>
            </w:pict>
          </mc:Fallback>
        </mc:AlternateContent>
      </w:r>
    </w:p>
    <w:p>
      <w:pPr>
        <w:spacing w:before="103"/>
        <w:ind w:left="120" w:right="0" w:hanging="1"/>
        <w:jc w:val="left"/>
        <w:rPr>
          <w:rFonts w:ascii="Times New Roman"/>
          <w:sz w:val="20"/>
        </w:rPr>
      </w:pPr>
      <w:bookmarkStart w:name="_bookmark8" w:id="20"/>
      <w:bookmarkEnd w:id="20"/>
      <w:r>
        <w:rPr/>
      </w:r>
      <w:r>
        <w:rPr>
          <w:rFonts w:ascii="Times New Roman"/>
          <w:sz w:val="20"/>
          <w:vertAlign w:val="superscript"/>
        </w:rPr>
        <w:t>9</w:t>
      </w:r>
      <w:r>
        <w:rPr>
          <w:rFonts w:ascii="Times New Roman"/>
          <w:spacing w:val="-3"/>
          <w:sz w:val="20"/>
          <w:vertAlign w:val="baseline"/>
        </w:rPr>
        <w:t> </w:t>
      </w:r>
      <w:r>
        <w:rPr>
          <w:rFonts w:ascii="Times New Roman"/>
          <w:sz w:val="20"/>
          <w:vertAlign w:val="baseline"/>
        </w:rPr>
        <w:t>Faculty</w:t>
      </w:r>
      <w:r>
        <w:rPr>
          <w:rFonts w:ascii="Times New Roman"/>
          <w:spacing w:val="-2"/>
          <w:sz w:val="20"/>
          <w:vertAlign w:val="baseline"/>
        </w:rPr>
        <w:t> </w:t>
      </w:r>
      <w:r>
        <w:rPr>
          <w:rFonts w:ascii="Times New Roman"/>
          <w:sz w:val="20"/>
          <w:vertAlign w:val="baseline"/>
        </w:rPr>
        <w:t>whose</w:t>
      </w:r>
      <w:r>
        <w:rPr>
          <w:rFonts w:ascii="Times New Roman"/>
          <w:spacing w:val="-3"/>
          <w:sz w:val="20"/>
          <w:vertAlign w:val="baseline"/>
        </w:rPr>
        <w:t> </w:t>
      </w:r>
      <w:r>
        <w:rPr>
          <w:rFonts w:ascii="Times New Roman"/>
          <w:sz w:val="20"/>
          <w:vertAlign w:val="baseline"/>
        </w:rPr>
        <w:t>degree</w:t>
      </w:r>
      <w:r>
        <w:rPr>
          <w:rFonts w:ascii="Times New Roman"/>
          <w:spacing w:val="-3"/>
          <w:sz w:val="20"/>
          <w:vertAlign w:val="baseline"/>
        </w:rPr>
        <w:t> </w:t>
      </w:r>
      <w:r>
        <w:rPr>
          <w:rFonts w:ascii="Times New Roman"/>
          <w:sz w:val="20"/>
          <w:vertAlign w:val="baseline"/>
        </w:rPr>
        <w:t>may</w:t>
      </w:r>
      <w:r>
        <w:rPr>
          <w:rFonts w:ascii="Times New Roman"/>
          <w:spacing w:val="-3"/>
          <w:sz w:val="20"/>
          <w:vertAlign w:val="baseline"/>
        </w:rPr>
        <w:t> </w:t>
      </w:r>
      <w:r>
        <w:rPr>
          <w:rFonts w:ascii="Times New Roman"/>
          <w:sz w:val="20"/>
          <w:vertAlign w:val="baseline"/>
        </w:rPr>
        <w:t>not</w:t>
      </w:r>
      <w:r>
        <w:rPr>
          <w:rFonts w:ascii="Times New Roman"/>
          <w:spacing w:val="-3"/>
          <w:sz w:val="20"/>
          <w:vertAlign w:val="baseline"/>
        </w:rPr>
        <w:t> </w:t>
      </w:r>
      <w:r>
        <w:rPr>
          <w:rFonts w:ascii="Times New Roman"/>
          <w:sz w:val="20"/>
          <w:vertAlign w:val="baseline"/>
        </w:rPr>
        <w:t>make</w:t>
      </w:r>
      <w:r>
        <w:rPr>
          <w:rFonts w:ascii="Times New Roman"/>
          <w:spacing w:val="-3"/>
          <w:sz w:val="20"/>
          <w:vertAlign w:val="baseline"/>
        </w:rPr>
        <w:t> </w:t>
      </w:r>
      <w:r>
        <w:rPr>
          <w:rFonts w:ascii="Times New Roman"/>
          <w:sz w:val="20"/>
          <w:vertAlign w:val="baseline"/>
        </w:rPr>
        <w:t>a</w:t>
      </w:r>
      <w:r>
        <w:rPr>
          <w:rFonts w:ascii="Times New Roman"/>
          <w:spacing w:val="-3"/>
          <w:sz w:val="20"/>
          <w:vertAlign w:val="baseline"/>
        </w:rPr>
        <w:t> </w:t>
      </w:r>
      <w:r>
        <w:rPr>
          <w:rFonts w:ascii="Times New Roman"/>
          <w:sz w:val="20"/>
          <w:vertAlign w:val="baseline"/>
        </w:rPr>
        <w:t>faculty</w:t>
      </w:r>
      <w:r>
        <w:rPr>
          <w:rFonts w:ascii="Times New Roman"/>
          <w:spacing w:val="-3"/>
          <w:sz w:val="20"/>
          <w:vertAlign w:val="baseline"/>
        </w:rPr>
        <w:t> </w:t>
      </w:r>
      <w:r>
        <w:rPr>
          <w:rFonts w:ascii="Times New Roman"/>
          <w:sz w:val="20"/>
          <w:vertAlign w:val="baseline"/>
        </w:rPr>
        <w:t>member</w:t>
      </w:r>
      <w:r>
        <w:rPr>
          <w:rFonts w:ascii="Times New Roman"/>
          <w:spacing w:val="-2"/>
          <w:sz w:val="20"/>
          <w:vertAlign w:val="baseline"/>
        </w:rPr>
        <w:t> </w:t>
      </w:r>
      <w:r>
        <w:rPr>
          <w:rFonts w:ascii="Times New Roman"/>
          <w:sz w:val="20"/>
          <w:vertAlign w:val="baseline"/>
        </w:rPr>
        <w:t>eligible</w:t>
      </w:r>
      <w:r>
        <w:rPr>
          <w:rFonts w:ascii="Times New Roman"/>
          <w:spacing w:val="-3"/>
          <w:sz w:val="20"/>
          <w:vertAlign w:val="baseline"/>
        </w:rPr>
        <w:t> </w:t>
      </w:r>
      <w:r>
        <w:rPr>
          <w:rFonts w:ascii="Times New Roman"/>
          <w:sz w:val="20"/>
          <w:vertAlign w:val="baseline"/>
        </w:rPr>
        <w:t>for</w:t>
      </w:r>
      <w:r>
        <w:rPr>
          <w:rFonts w:ascii="Times New Roman"/>
          <w:spacing w:val="-2"/>
          <w:sz w:val="20"/>
          <w:vertAlign w:val="baseline"/>
        </w:rPr>
        <w:t> </w:t>
      </w:r>
      <w:r>
        <w:rPr>
          <w:rFonts w:ascii="Times New Roman"/>
          <w:sz w:val="20"/>
          <w:vertAlign w:val="baseline"/>
        </w:rPr>
        <w:t>SA</w:t>
      </w:r>
      <w:r>
        <w:rPr>
          <w:rFonts w:ascii="Times New Roman"/>
          <w:spacing w:val="-3"/>
          <w:sz w:val="20"/>
          <w:vertAlign w:val="baseline"/>
        </w:rPr>
        <w:t> </w:t>
      </w:r>
      <w:r>
        <w:rPr>
          <w:rFonts w:ascii="Times New Roman"/>
          <w:sz w:val="20"/>
          <w:vertAlign w:val="baseline"/>
        </w:rPr>
        <w:t>status,</w:t>
      </w:r>
      <w:r>
        <w:rPr>
          <w:rFonts w:ascii="Times New Roman"/>
          <w:spacing w:val="-2"/>
          <w:sz w:val="20"/>
          <w:vertAlign w:val="baseline"/>
        </w:rPr>
        <w:t> </w:t>
      </w:r>
      <w:r>
        <w:rPr>
          <w:rFonts w:ascii="Times New Roman"/>
          <w:sz w:val="20"/>
          <w:vertAlign w:val="baseline"/>
        </w:rPr>
        <w:t>will</w:t>
      </w:r>
      <w:r>
        <w:rPr>
          <w:rFonts w:ascii="Times New Roman"/>
          <w:spacing w:val="-3"/>
          <w:sz w:val="20"/>
          <w:vertAlign w:val="baseline"/>
        </w:rPr>
        <w:t> </w:t>
      </w:r>
      <w:r>
        <w:rPr>
          <w:rFonts w:ascii="Times New Roman"/>
          <w:sz w:val="20"/>
          <w:vertAlign w:val="baseline"/>
        </w:rPr>
        <w:t>be</w:t>
      </w:r>
      <w:r>
        <w:rPr>
          <w:rFonts w:ascii="Times New Roman"/>
          <w:spacing w:val="-3"/>
          <w:sz w:val="20"/>
          <w:vertAlign w:val="baseline"/>
        </w:rPr>
        <w:t> </w:t>
      </w:r>
      <w:r>
        <w:rPr>
          <w:rFonts w:ascii="Times New Roman"/>
          <w:sz w:val="20"/>
          <w:vertAlign w:val="baseline"/>
        </w:rPr>
        <w:t>expected</w:t>
      </w:r>
      <w:r>
        <w:rPr>
          <w:rFonts w:ascii="Times New Roman"/>
          <w:spacing w:val="-2"/>
          <w:sz w:val="20"/>
          <w:vertAlign w:val="baseline"/>
        </w:rPr>
        <w:t> </w:t>
      </w:r>
      <w:r>
        <w:rPr>
          <w:rFonts w:ascii="Times New Roman"/>
          <w:sz w:val="20"/>
          <w:vertAlign w:val="baseline"/>
        </w:rPr>
        <w:t>to</w:t>
      </w:r>
      <w:r>
        <w:rPr>
          <w:rFonts w:ascii="Times New Roman"/>
          <w:spacing w:val="-2"/>
          <w:sz w:val="20"/>
          <w:vertAlign w:val="baseline"/>
        </w:rPr>
        <w:t> </w:t>
      </w:r>
      <w:r>
        <w:rPr>
          <w:rFonts w:ascii="Times New Roman"/>
          <w:sz w:val="20"/>
          <w:vertAlign w:val="baseline"/>
        </w:rPr>
        <w:t>achieve</w:t>
      </w:r>
      <w:r>
        <w:rPr>
          <w:rFonts w:ascii="Times New Roman"/>
          <w:spacing w:val="-3"/>
          <w:sz w:val="20"/>
          <w:vertAlign w:val="baseline"/>
        </w:rPr>
        <w:t> </w:t>
      </w:r>
      <w:r>
        <w:rPr>
          <w:rFonts w:ascii="Times New Roman"/>
          <w:sz w:val="20"/>
          <w:vertAlign w:val="baseline"/>
        </w:rPr>
        <w:t>Scholarly Practitioner (SP) status.</w:t>
      </w:r>
    </w:p>
    <w:p>
      <w:pPr>
        <w:spacing w:after="0"/>
        <w:jc w:val="left"/>
        <w:rPr>
          <w:rFonts w:ascii="Times New Roman"/>
          <w:sz w:val="20"/>
        </w:rPr>
        <w:sectPr>
          <w:pgSz w:w="12240" w:h="15840"/>
          <w:pgMar w:header="0" w:footer="1712" w:top="1700" w:bottom="1900" w:left="1320" w:right="1180"/>
        </w:sectPr>
      </w:pPr>
    </w:p>
    <w:p>
      <w:pPr>
        <w:pStyle w:val="BodyText"/>
        <w:spacing w:before="39"/>
        <w:ind w:left="120" w:right="118" w:firstLine="720"/>
      </w:pPr>
      <w:r>
        <w:rPr/>
        <w:t>Before any decision is made within a department, school, program, or division about whether to recommend promotion, the candidate shall be notified that the candidate is under such consideration</w:t>
      </w:r>
      <w:r>
        <w:rPr>
          <w:spacing w:val="-3"/>
        </w:rPr>
        <w:t> </w:t>
      </w:r>
      <w:r>
        <w:rPr/>
        <w:t>and</w:t>
      </w:r>
      <w:r>
        <w:rPr>
          <w:spacing w:val="-3"/>
        </w:rPr>
        <w:t> </w:t>
      </w:r>
      <w:r>
        <w:rPr/>
        <w:t>that</w:t>
      </w:r>
      <w:r>
        <w:rPr>
          <w:spacing w:val="-3"/>
        </w:rPr>
        <w:t> </w:t>
      </w:r>
      <w:r>
        <w:rPr/>
        <w:t>within</w:t>
      </w:r>
      <w:r>
        <w:rPr>
          <w:spacing w:val="-3"/>
        </w:rPr>
        <w:t> </w:t>
      </w:r>
      <w:r>
        <w:rPr/>
        <w:t>a</w:t>
      </w:r>
      <w:r>
        <w:rPr>
          <w:spacing w:val="-4"/>
        </w:rPr>
        <w:t> </w:t>
      </w:r>
      <w:r>
        <w:rPr/>
        <w:t>properly</w:t>
      </w:r>
      <w:r>
        <w:rPr>
          <w:spacing w:val="-2"/>
        </w:rPr>
        <w:t> </w:t>
      </w:r>
      <w:r>
        <w:rPr/>
        <w:t>specified and</w:t>
      </w:r>
      <w:r>
        <w:rPr>
          <w:spacing w:val="-3"/>
        </w:rPr>
        <w:t> </w:t>
      </w:r>
      <w:r>
        <w:rPr/>
        <w:t>reasonable</w:t>
      </w:r>
      <w:r>
        <w:rPr>
          <w:spacing w:val="-3"/>
        </w:rPr>
        <w:t> </w:t>
      </w:r>
      <w:r>
        <w:rPr/>
        <w:t>period</w:t>
      </w:r>
      <w:r>
        <w:rPr>
          <w:spacing w:val="-3"/>
        </w:rPr>
        <w:t> </w:t>
      </w:r>
      <w:r>
        <w:rPr/>
        <w:t>of</w:t>
      </w:r>
      <w:r>
        <w:rPr>
          <w:spacing w:val="-3"/>
        </w:rPr>
        <w:t> </w:t>
      </w:r>
      <w:r>
        <w:rPr/>
        <w:t>time,</w:t>
      </w:r>
      <w:r>
        <w:rPr>
          <w:spacing w:val="-4"/>
        </w:rPr>
        <w:t> </w:t>
      </w:r>
      <w:r>
        <w:rPr/>
        <w:t>such</w:t>
      </w:r>
      <w:r>
        <w:rPr>
          <w:spacing w:val="-3"/>
        </w:rPr>
        <w:t> </w:t>
      </w:r>
      <w:r>
        <w:rPr/>
        <w:t>as</w:t>
      </w:r>
      <w:r>
        <w:rPr>
          <w:spacing w:val="-2"/>
        </w:rPr>
        <w:t> </w:t>
      </w:r>
      <w:r>
        <w:rPr/>
        <w:t>six weeks, the candidate may submit materials which it is believed will be relevant for consideration of the candidate’s professional qualifications. (University Policy ACA 38).</w:t>
      </w:r>
    </w:p>
    <w:p>
      <w:pPr>
        <w:pStyle w:val="BodyText"/>
        <w:spacing w:before="292"/>
        <w:ind w:left="120" w:right="289" w:firstLine="720"/>
        <w:jc w:val="both"/>
      </w:pPr>
      <w:r>
        <w:rPr/>
        <w:t>The</w:t>
      </w:r>
      <w:r>
        <w:rPr>
          <w:spacing w:val="-2"/>
        </w:rPr>
        <w:t> </w:t>
      </w:r>
      <w:r>
        <w:rPr/>
        <w:t>candidate’s</w:t>
      </w:r>
      <w:r>
        <w:rPr>
          <w:spacing w:val="-5"/>
        </w:rPr>
        <w:t> </w:t>
      </w:r>
      <w:r>
        <w:rPr/>
        <w:t>dossier</w:t>
      </w:r>
      <w:r>
        <w:rPr>
          <w:spacing w:val="-2"/>
        </w:rPr>
        <w:t> </w:t>
      </w:r>
      <w:r>
        <w:rPr/>
        <w:t>should</w:t>
      </w:r>
      <w:r>
        <w:rPr>
          <w:spacing w:val="-4"/>
        </w:rPr>
        <w:t> </w:t>
      </w:r>
      <w:r>
        <w:rPr/>
        <w:t>follow</w:t>
      </w:r>
      <w:r>
        <w:rPr>
          <w:spacing w:val="-4"/>
        </w:rPr>
        <w:t> </w:t>
      </w:r>
      <w:r>
        <w:rPr/>
        <w:t>the</w:t>
      </w:r>
      <w:r>
        <w:rPr>
          <w:spacing w:val="-4"/>
        </w:rPr>
        <w:t> </w:t>
      </w:r>
      <w:r>
        <w:rPr/>
        <w:t>IUPUI</w:t>
      </w:r>
      <w:r>
        <w:rPr>
          <w:spacing w:val="-3"/>
        </w:rPr>
        <w:t> </w:t>
      </w:r>
      <w:r>
        <w:rPr/>
        <w:t>promotion</w:t>
      </w:r>
      <w:r>
        <w:rPr>
          <w:spacing w:val="-4"/>
        </w:rPr>
        <w:t> </w:t>
      </w:r>
      <w:r>
        <w:rPr/>
        <w:t>and</w:t>
      </w:r>
      <w:r>
        <w:rPr>
          <w:spacing w:val="-4"/>
        </w:rPr>
        <w:t> </w:t>
      </w:r>
      <w:r>
        <w:rPr/>
        <w:t>tenure</w:t>
      </w:r>
      <w:r>
        <w:rPr>
          <w:spacing w:val="-2"/>
        </w:rPr>
        <w:t> </w:t>
      </w:r>
      <w:r>
        <w:rPr/>
        <w:t>guidelines.</w:t>
      </w:r>
      <w:r>
        <w:rPr>
          <w:spacing w:val="-6"/>
        </w:rPr>
        <w:t> </w:t>
      </w:r>
      <w:r>
        <w:rPr/>
        <w:t>These guidelines are subject to change, and candidates should review the latest IUPUI promotion and tenure guidelines.</w:t>
      </w:r>
    </w:p>
    <w:p>
      <w:pPr>
        <w:pStyle w:val="ListParagraph"/>
        <w:numPr>
          <w:ilvl w:val="1"/>
          <w:numId w:val="6"/>
        </w:numPr>
        <w:tabs>
          <w:tab w:pos="1199" w:val="left" w:leader="none"/>
        </w:tabs>
        <w:spacing w:line="305" w:lineRule="exact" w:before="1" w:after="0"/>
        <w:ind w:left="1199" w:right="0" w:hanging="359"/>
        <w:jc w:val="left"/>
        <w:rPr>
          <w:rFonts w:ascii="Symbol" w:hAnsi="Symbol"/>
          <w:sz w:val="24"/>
        </w:rPr>
      </w:pPr>
      <w:r>
        <w:rPr>
          <w:sz w:val="24"/>
        </w:rPr>
        <w:t>CV in</w:t>
      </w:r>
      <w:r>
        <w:rPr>
          <w:spacing w:val="-1"/>
          <w:sz w:val="24"/>
        </w:rPr>
        <w:t> </w:t>
      </w:r>
      <w:r>
        <w:rPr>
          <w:sz w:val="24"/>
        </w:rPr>
        <w:t>the</w:t>
      </w:r>
      <w:r>
        <w:rPr>
          <w:spacing w:val="-2"/>
          <w:sz w:val="24"/>
        </w:rPr>
        <w:t> </w:t>
      </w:r>
      <w:r>
        <w:rPr>
          <w:sz w:val="24"/>
        </w:rPr>
        <w:t>IUPUI </w:t>
      </w:r>
      <w:r>
        <w:rPr>
          <w:spacing w:val="-2"/>
          <w:sz w:val="24"/>
        </w:rPr>
        <w:t>format</w:t>
      </w:r>
    </w:p>
    <w:p>
      <w:pPr>
        <w:pStyle w:val="ListParagraph"/>
        <w:numPr>
          <w:ilvl w:val="1"/>
          <w:numId w:val="6"/>
        </w:numPr>
        <w:tabs>
          <w:tab w:pos="1200" w:val="left" w:leader="none"/>
        </w:tabs>
        <w:spacing w:line="240" w:lineRule="auto" w:before="0" w:after="0"/>
        <w:ind w:left="1200" w:right="299" w:hanging="360"/>
        <w:jc w:val="left"/>
        <w:rPr>
          <w:rFonts w:ascii="Symbol" w:hAnsi="Symbol"/>
          <w:sz w:val="24"/>
        </w:rPr>
      </w:pPr>
      <w:r>
        <w:rPr>
          <w:sz w:val="24"/>
        </w:rPr>
        <w:t>Teaching</w:t>
      </w:r>
      <w:r>
        <w:rPr>
          <w:spacing w:val="-1"/>
          <w:sz w:val="24"/>
        </w:rPr>
        <w:t> </w:t>
      </w:r>
      <w:r>
        <w:rPr>
          <w:sz w:val="24"/>
        </w:rPr>
        <w:t>Evidence:</w:t>
      </w:r>
      <w:r>
        <w:rPr>
          <w:spacing w:val="-1"/>
          <w:sz w:val="24"/>
        </w:rPr>
        <w:t> </w:t>
      </w:r>
      <w:r>
        <w:rPr>
          <w:sz w:val="24"/>
        </w:rPr>
        <w:t>The</w:t>
      </w:r>
      <w:r>
        <w:rPr>
          <w:spacing w:val="-3"/>
          <w:sz w:val="24"/>
        </w:rPr>
        <w:t> </w:t>
      </w:r>
      <w:r>
        <w:rPr>
          <w:sz w:val="24"/>
        </w:rPr>
        <w:t>dossier should include a</w:t>
      </w:r>
      <w:r>
        <w:rPr>
          <w:spacing w:val="-3"/>
          <w:sz w:val="24"/>
        </w:rPr>
        <w:t> </w:t>
      </w:r>
      <w:r>
        <w:rPr>
          <w:sz w:val="24"/>
        </w:rPr>
        <w:t>statement written by</w:t>
      </w:r>
      <w:r>
        <w:rPr>
          <w:spacing w:val="-2"/>
          <w:sz w:val="24"/>
        </w:rPr>
        <w:t> </w:t>
      </w:r>
      <w:r>
        <w:rPr>
          <w:sz w:val="24"/>
        </w:rPr>
        <w:t>the candidate describing the philosophy of teaching. The dossier should also include items such as summaries of teaching evaluation scores and actual student comments, teaching awards, peer evaluations, invitations to give workshops, curriculum development, assessment</w:t>
      </w:r>
      <w:r>
        <w:rPr>
          <w:spacing w:val="-4"/>
          <w:sz w:val="24"/>
        </w:rPr>
        <w:t> </w:t>
      </w:r>
      <w:r>
        <w:rPr>
          <w:sz w:val="24"/>
        </w:rPr>
        <w:t>protocols,</w:t>
      </w:r>
      <w:r>
        <w:rPr>
          <w:spacing w:val="-5"/>
          <w:sz w:val="24"/>
        </w:rPr>
        <w:t> </w:t>
      </w:r>
      <w:r>
        <w:rPr>
          <w:sz w:val="24"/>
        </w:rPr>
        <w:t>and</w:t>
      </w:r>
      <w:r>
        <w:rPr>
          <w:spacing w:val="-4"/>
          <w:sz w:val="24"/>
        </w:rPr>
        <w:t> </w:t>
      </w:r>
      <w:r>
        <w:rPr>
          <w:sz w:val="24"/>
        </w:rPr>
        <w:t>other</w:t>
      </w:r>
      <w:r>
        <w:rPr>
          <w:spacing w:val="-3"/>
          <w:sz w:val="24"/>
        </w:rPr>
        <w:t> </w:t>
      </w:r>
      <w:r>
        <w:rPr>
          <w:sz w:val="24"/>
        </w:rPr>
        <w:t>measures</w:t>
      </w:r>
      <w:r>
        <w:rPr>
          <w:spacing w:val="-5"/>
          <w:sz w:val="24"/>
        </w:rPr>
        <w:t> </w:t>
      </w:r>
      <w:r>
        <w:rPr>
          <w:sz w:val="24"/>
        </w:rPr>
        <w:t>of</w:t>
      </w:r>
      <w:r>
        <w:rPr>
          <w:spacing w:val="-4"/>
          <w:sz w:val="24"/>
        </w:rPr>
        <w:t> </w:t>
      </w:r>
      <w:r>
        <w:rPr>
          <w:sz w:val="24"/>
        </w:rPr>
        <w:t>teaching</w:t>
      </w:r>
      <w:r>
        <w:rPr>
          <w:spacing w:val="-4"/>
          <w:sz w:val="24"/>
        </w:rPr>
        <w:t> </w:t>
      </w:r>
      <w:r>
        <w:rPr>
          <w:sz w:val="24"/>
        </w:rPr>
        <w:t>effectiveness</w:t>
      </w:r>
      <w:r>
        <w:rPr>
          <w:spacing w:val="-4"/>
          <w:sz w:val="24"/>
        </w:rPr>
        <w:t> </w:t>
      </w:r>
      <w:r>
        <w:rPr>
          <w:sz w:val="24"/>
        </w:rPr>
        <w:t>and</w:t>
      </w:r>
      <w:r>
        <w:rPr>
          <w:spacing w:val="-4"/>
          <w:sz w:val="24"/>
        </w:rPr>
        <w:t> </w:t>
      </w:r>
      <w:r>
        <w:rPr>
          <w:sz w:val="24"/>
        </w:rPr>
        <w:t>innovation.</w:t>
      </w:r>
    </w:p>
    <w:p>
      <w:pPr>
        <w:pStyle w:val="ListParagraph"/>
        <w:numPr>
          <w:ilvl w:val="1"/>
          <w:numId w:val="6"/>
        </w:numPr>
        <w:tabs>
          <w:tab w:pos="1200" w:val="left" w:leader="none"/>
        </w:tabs>
        <w:spacing w:line="240" w:lineRule="auto" w:before="1" w:after="0"/>
        <w:ind w:left="1200" w:right="249" w:hanging="360"/>
        <w:jc w:val="left"/>
        <w:rPr>
          <w:rFonts w:ascii="Symbol" w:hAnsi="Symbol"/>
          <w:sz w:val="24"/>
        </w:rPr>
      </w:pPr>
      <w:r>
        <w:rPr>
          <w:sz w:val="24"/>
        </w:rPr>
        <w:t>Service</w:t>
      </w:r>
      <w:r>
        <w:rPr>
          <w:spacing w:val="-2"/>
          <w:sz w:val="24"/>
        </w:rPr>
        <w:t> </w:t>
      </w:r>
      <w:r>
        <w:rPr>
          <w:sz w:val="24"/>
        </w:rPr>
        <w:t>Evidence:</w:t>
      </w:r>
      <w:r>
        <w:rPr>
          <w:spacing w:val="-4"/>
          <w:sz w:val="24"/>
        </w:rPr>
        <w:t> </w:t>
      </w:r>
      <w:r>
        <w:rPr>
          <w:sz w:val="24"/>
        </w:rPr>
        <w:t>The</w:t>
      </w:r>
      <w:r>
        <w:rPr>
          <w:spacing w:val="-4"/>
          <w:sz w:val="24"/>
        </w:rPr>
        <w:t> </w:t>
      </w:r>
      <w:r>
        <w:rPr>
          <w:sz w:val="24"/>
        </w:rPr>
        <w:t>dossier</w:t>
      </w:r>
      <w:r>
        <w:rPr>
          <w:spacing w:val="-2"/>
          <w:sz w:val="24"/>
        </w:rPr>
        <w:t> </w:t>
      </w:r>
      <w:r>
        <w:rPr>
          <w:sz w:val="24"/>
        </w:rPr>
        <w:t>should</w:t>
      </w:r>
      <w:r>
        <w:rPr>
          <w:spacing w:val="-4"/>
          <w:sz w:val="24"/>
        </w:rPr>
        <w:t> </w:t>
      </w:r>
      <w:r>
        <w:rPr>
          <w:sz w:val="24"/>
        </w:rPr>
        <w:t>include</w:t>
      </w:r>
      <w:r>
        <w:rPr>
          <w:spacing w:val="-2"/>
          <w:sz w:val="24"/>
        </w:rPr>
        <w:t> </w:t>
      </w:r>
      <w:r>
        <w:rPr>
          <w:sz w:val="24"/>
        </w:rPr>
        <w:t>a</w:t>
      </w:r>
      <w:r>
        <w:rPr>
          <w:spacing w:val="-5"/>
          <w:sz w:val="24"/>
        </w:rPr>
        <w:t> </w:t>
      </w:r>
      <w:r>
        <w:rPr>
          <w:sz w:val="24"/>
        </w:rPr>
        <w:t>service</w:t>
      </w:r>
      <w:r>
        <w:rPr>
          <w:spacing w:val="-2"/>
          <w:sz w:val="24"/>
        </w:rPr>
        <w:t> </w:t>
      </w:r>
      <w:r>
        <w:rPr>
          <w:sz w:val="24"/>
        </w:rPr>
        <w:t>statement</w:t>
      </w:r>
      <w:r>
        <w:rPr>
          <w:spacing w:val="-4"/>
          <w:sz w:val="24"/>
        </w:rPr>
        <w:t> </w:t>
      </w:r>
      <w:r>
        <w:rPr>
          <w:sz w:val="24"/>
        </w:rPr>
        <w:t>which</w:t>
      </w:r>
      <w:r>
        <w:rPr>
          <w:spacing w:val="-4"/>
          <w:sz w:val="24"/>
        </w:rPr>
        <w:t> </w:t>
      </w:r>
      <w:r>
        <w:rPr>
          <w:sz w:val="24"/>
        </w:rPr>
        <w:t>describes</w:t>
      </w:r>
      <w:r>
        <w:rPr>
          <w:spacing w:val="-3"/>
          <w:sz w:val="24"/>
        </w:rPr>
        <w:t> </w:t>
      </w:r>
      <w:r>
        <w:rPr>
          <w:sz w:val="24"/>
        </w:rPr>
        <w:t>the candidate’s participation in departmental activities in support of teaching/learning (e.g., curriculum development, course development), involvement in student groups/clubs in support of student learning, engagement in School/University activities in support of our programmatic goals, and of community service activities.</w:t>
      </w:r>
    </w:p>
    <w:p>
      <w:pPr>
        <w:pStyle w:val="ListParagraph"/>
        <w:numPr>
          <w:ilvl w:val="1"/>
          <w:numId w:val="6"/>
        </w:numPr>
        <w:tabs>
          <w:tab w:pos="1200" w:val="left" w:leader="none"/>
        </w:tabs>
        <w:spacing w:line="240" w:lineRule="auto" w:before="0" w:after="0"/>
        <w:ind w:left="1200" w:right="258" w:hanging="360"/>
        <w:jc w:val="left"/>
        <w:rPr>
          <w:rFonts w:ascii="Symbol" w:hAnsi="Symbol"/>
          <w:sz w:val="22"/>
        </w:rPr>
      </w:pPr>
      <w:r>
        <w:rPr>
          <w:sz w:val="24"/>
        </w:rPr>
        <w:t>For</w:t>
      </w:r>
      <w:r>
        <w:rPr>
          <w:spacing w:val="-3"/>
          <w:sz w:val="24"/>
        </w:rPr>
        <w:t> </w:t>
      </w:r>
      <w:r>
        <w:rPr>
          <w:sz w:val="24"/>
        </w:rPr>
        <w:t>candidates</w:t>
      </w:r>
      <w:r>
        <w:rPr>
          <w:spacing w:val="-4"/>
          <w:sz w:val="24"/>
        </w:rPr>
        <w:t> </w:t>
      </w:r>
      <w:r>
        <w:rPr>
          <w:sz w:val="24"/>
        </w:rPr>
        <w:t>seeking</w:t>
      </w:r>
      <w:r>
        <w:rPr>
          <w:spacing w:val="-4"/>
          <w:sz w:val="24"/>
        </w:rPr>
        <w:t> </w:t>
      </w:r>
      <w:r>
        <w:rPr>
          <w:sz w:val="24"/>
        </w:rPr>
        <w:t>promotion</w:t>
      </w:r>
      <w:r>
        <w:rPr>
          <w:spacing w:val="-5"/>
          <w:sz w:val="24"/>
        </w:rPr>
        <w:t> </w:t>
      </w:r>
      <w:r>
        <w:rPr>
          <w:sz w:val="24"/>
        </w:rPr>
        <w:t>based</w:t>
      </w:r>
      <w:r>
        <w:rPr>
          <w:spacing w:val="-2"/>
          <w:sz w:val="24"/>
        </w:rPr>
        <w:t> </w:t>
      </w:r>
      <w:r>
        <w:rPr>
          <w:sz w:val="24"/>
        </w:rPr>
        <w:t>on</w:t>
      </w:r>
      <w:r>
        <w:rPr>
          <w:spacing w:val="-2"/>
          <w:sz w:val="24"/>
        </w:rPr>
        <w:t> </w:t>
      </w:r>
      <w:r>
        <w:rPr>
          <w:sz w:val="24"/>
        </w:rPr>
        <w:t>an</w:t>
      </w:r>
      <w:r>
        <w:rPr>
          <w:spacing w:val="-2"/>
          <w:sz w:val="24"/>
        </w:rPr>
        <w:t> </w:t>
      </w:r>
      <w:r>
        <w:rPr>
          <w:sz w:val="24"/>
        </w:rPr>
        <w:t>area</w:t>
      </w:r>
      <w:r>
        <w:rPr>
          <w:spacing w:val="-3"/>
          <w:sz w:val="24"/>
        </w:rPr>
        <w:t> </w:t>
      </w:r>
      <w:r>
        <w:rPr>
          <w:sz w:val="24"/>
        </w:rPr>
        <w:t>of</w:t>
      </w:r>
      <w:r>
        <w:rPr>
          <w:spacing w:val="-5"/>
          <w:sz w:val="24"/>
        </w:rPr>
        <w:t> </w:t>
      </w:r>
      <w:r>
        <w:rPr>
          <w:sz w:val="24"/>
        </w:rPr>
        <w:t>excellence,</w:t>
      </w:r>
      <w:r>
        <w:rPr>
          <w:spacing w:val="-3"/>
          <w:sz w:val="24"/>
        </w:rPr>
        <w:t> </w:t>
      </w:r>
      <w:r>
        <w:rPr>
          <w:sz w:val="24"/>
        </w:rPr>
        <w:t>the</w:t>
      </w:r>
      <w:r>
        <w:rPr>
          <w:spacing w:val="-5"/>
          <w:sz w:val="24"/>
        </w:rPr>
        <w:t> </w:t>
      </w:r>
      <w:r>
        <w:rPr>
          <w:sz w:val="24"/>
        </w:rPr>
        <w:t>dossier</w:t>
      </w:r>
      <w:r>
        <w:rPr>
          <w:spacing w:val="-3"/>
          <w:sz w:val="24"/>
        </w:rPr>
        <w:t> </w:t>
      </w:r>
      <w:r>
        <w:rPr>
          <w:sz w:val="24"/>
        </w:rPr>
        <w:t>should include evidence of quality dissemination and </w:t>
      </w:r>
      <w:r>
        <w:rPr>
          <w:sz w:val="22"/>
        </w:rPr>
        <w:t>academic and/or professional </w:t>
      </w:r>
      <w:r>
        <w:rPr>
          <w:sz w:val="24"/>
        </w:rPr>
        <w:t>peer- reviewed publications in the area of excellence (teaching or service).</w:t>
      </w:r>
    </w:p>
    <w:p>
      <w:pPr>
        <w:pStyle w:val="ListParagraph"/>
        <w:numPr>
          <w:ilvl w:val="1"/>
          <w:numId w:val="6"/>
        </w:numPr>
        <w:tabs>
          <w:tab w:pos="1200" w:val="left" w:leader="none"/>
        </w:tabs>
        <w:spacing w:line="240" w:lineRule="auto" w:before="1" w:after="0"/>
        <w:ind w:left="1200" w:right="414" w:hanging="361"/>
        <w:jc w:val="left"/>
        <w:rPr>
          <w:rFonts w:ascii="Symbol" w:hAnsi="Symbol"/>
          <w:sz w:val="22"/>
        </w:rPr>
      </w:pPr>
      <w:r>
        <w:rPr>
          <w:sz w:val="24"/>
        </w:rPr>
        <w:t>For candidates seeking promotion on a balanced case, the dossier should include evidence</w:t>
      </w:r>
      <w:r>
        <w:rPr>
          <w:spacing w:val="-5"/>
          <w:sz w:val="24"/>
        </w:rPr>
        <w:t> </w:t>
      </w:r>
      <w:r>
        <w:rPr>
          <w:sz w:val="24"/>
        </w:rPr>
        <w:t>of</w:t>
      </w:r>
      <w:r>
        <w:rPr>
          <w:spacing w:val="-5"/>
          <w:sz w:val="24"/>
        </w:rPr>
        <w:t> </w:t>
      </w:r>
      <w:r>
        <w:rPr>
          <w:sz w:val="24"/>
        </w:rPr>
        <w:t>quality</w:t>
      </w:r>
      <w:r>
        <w:rPr>
          <w:spacing w:val="-7"/>
          <w:sz w:val="24"/>
        </w:rPr>
        <w:t> </w:t>
      </w:r>
      <w:r>
        <w:rPr>
          <w:sz w:val="24"/>
        </w:rPr>
        <w:t>dissemination</w:t>
      </w:r>
      <w:r>
        <w:rPr>
          <w:spacing w:val="-2"/>
          <w:sz w:val="24"/>
        </w:rPr>
        <w:t> </w:t>
      </w:r>
      <w:r>
        <w:rPr>
          <w:sz w:val="24"/>
        </w:rPr>
        <w:t>and</w:t>
      </w:r>
      <w:r>
        <w:rPr>
          <w:spacing w:val="-5"/>
          <w:sz w:val="24"/>
        </w:rPr>
        <w:t> </w:t>
      </w:r>
      <w:r>
        <w:rPr>
          <w:sz w:val="24"/>
        </w:rPr>
        <w:t>academic</w:t>
      </w:r>
      <w:r>
        <w:rPr>
          <w:spacing w:val="-4"/>
          <w:sz w:val="24"/>
        </w:rPr>
        <w:t> </w:t>
      </w:r>
      <w:r>
        <w:rPr>
          <w:sz w:val="24"/>
        </w:rPr>
        <w:t>and/or</w:t>
      </w:r>
      <w:r>
        <w:rPr>
          <w:spacing w:val="-6"/>
          <w:sz w:val="24"/>
        </w:rPr>
        <w:t> </w:t>
      </w:r>
      <w:r>
        <w:rPr>
          <w:sz w:val="24"/>
        </w:rPr>
        <w:t>professional</w:t>
      </w:r>
      <w:r>
        <w:rPr>
          <w:spacing w:val="-6"/>
          <w:sz w:val="24"/>
        </w:rPr>
        <w:t> </w:t>
      </w:r>
      <w:r>
        <w:rPr>
          <w:sz w:val="24"/>
        </w:rPr>
        <w:t>peer-reviewed publications to support the specific type of balanced case.</w:t>
      </w:r>
    </w:p>
    <w:p>
      <w:pPr>
        <w:pStyle w:val="BodyText"/>
        <w:spacing w:before="292"/>
        <w:ind w:left="120" w:right="118"/>
      </w:pPr>
      <w:r>
        <w:rPr/>
        <w:t>The Kelley School’s commitment to its mission, values, and goals </w:t>
      </w:r>
      <w:hyperlink w:history="true" w:anchor="_bookmark9">
        <w:r>
          <w:rPr>
            <w:vertAlign w:val="superscript"/>
          </w:rPr>
          <w:t>10</w:t>
        </w:r>
      </w:hyperlink>
      <w:r>
        <w:rPr>
          <w:vertAlign w:val="baseline"/>
        </w:rPr>
        <w:t> is reflected in various performance evaluation assessments, including the consideration of a faculty member for promotion.</w:t>
      </w:r>
      <w:r>
        <w:rPr>
          <w:spacing w:val="-6"/>
          <w:vertAlign w:val="baseline"/>
        </w:rPr>
        <w:t> </w:t>
      </w:r>
      <w:r>
        <w:rPr>
          <w:vertAlign w:val="baseline"/>
        </w:rPr>
        <w:t>Activities</w:t>
      </w:r>
      <w:r>
        <w:rPr>
          <w:spacing w:val="-3"/>
          <w:vertAlign w:val="baseline"/>
        </w:rPr>
        <w:t> </w:t>
      </w:r>
      <w:r>
        <w:rPr>
          <w:vertAlign w:val="baseline"/>
        </w:rPr>
        <w:t>that</w:t>
      </w:r>
      <w:r>
        <w:rPr>
          <w:spacing w:val="-1"/>
          <w:vertAlign w:val="baseline"/>
        </w:rPr>
        <w:t> </w:t>
      </w:r>
      <w:r>
        <w:rPr>
          <w:vertAlign w:val="baseline"/>
        </w:rPr>
        <w:t>enhance</w:t>
      </w:r>
      <w:r>
        <w:rPr>
          <w:spacing w:val="-2"/>
          <w:vertAlign w:val="baseline"/>
        </w:rPr>
        <w:t> </w:t>
      </w:r>
      <w:r>
        <w:rPr>
          <w:vertAlign w:val="baseline"/>
        </w:rPr>
        <w:t>the</w:t>
      </w:r>
      <w:r>
        <w:rPr>
          <w:spacing w:val="-4"/>
          <w:vertAlign w:val="baseline"/>
        </w:rPr>
        <w:t> </w:t>
      </w:r>
      <w:r>
        <w:rPr>
          <w:vertAlign w:val="baseline"/>
        </w:rPr>
        <w:t>School’s</w:t>
      </w:r>
      <w:r>
        <w:rPr>
          <w:spacing w:val="-5"/>
          <w:vertAlign w:val="baseline"/>
        </w:rPr>
        <w:t> </w:t>
      </w:r>
      <w:r>
        <w:rPr>
          <w:vertAlign w:val="baseline"/>
        </w:rPr>
        <w:t>mission,</w:t>
      </w:r>
      <w:r>
        <w:rPr>
          <w:spacing w:val="-2"/>
          <w:vertAlign w:val="baseline"/>
        </w:rPr>
        <w:t> </w:t>
      </w:r>
      <w:r>
        <w:rPr>
          <w:vertAlign w:val="baseline"/>
        </w:rPr>
        <w:t>values,</w:t>
      </w:r>
      <w:r>
        <w:rPr>
          <w:spacing w:val="-2"/>
          <w:vertAlign w:val="baseline"/>
        </w:rPr>
        <w:t> </w:t>
      </w:r>
      <w:r>
        <w:rPr>
          <w:vertAlign w:val="baseline"/>
        </w:rPr>
        <w:t>and</w:t>
      </w:r>
      <w:r>
        <w:rPr>
          <w:spacing w:val="-1"/>
          <w:vertAlign w:val="baseline"/>
        </w:rPr>
        <w:t> </w:t>
      </w:r>
      <w:r>
        <w:rPr>
          <w:vertAlign w:val="baseline"/>
        </w:rPr>
        <w:t>goals</w:t>
      </w:r>
      <w:r>
        <w:rPr>
          <w:spacing w:val="-5"/>
          <w:vertAlign w:val="baseline"/>
        </w:rPr>
        <w:t> </w:t>
      </w:r>
      <w:r>
        <w:rPr>
          <w:vertAlign w:val="baseline"/>
        </w:rPr>
        <w:t>are</w:t>
      </w:r>
      <w:r>
        <w:rPr>
          <w:spacing w:val="-2"/>
          <w:vertAlign w:val="baseline"/>
        </w:rPr>
        <w:t> </w:t>
      </w:r>
      <w:r>
        <w:rPr>
          <w:vertAlign w:val="baseline"/>
        </w:rPr>
        <w:t>recognized</w:t>
      </w:r>
      <w:r>
        <w:rPr>
          <w:spacing w:val="-1"/>
          <w:vertAlign w:val="baseline"/>
        </w:rPr>
        <w:t> </w:t>
      </w:r>
      <w:r>
        <w:rPr>
          <w:vertAlign w:val="baseline"/>
        </w:rPr>
        <w:t>as</w:t>
      </w:r>
      <w:r>
        <w:rPr>
          <w:spacing w:val="-5"/>
          <w:vertAlign w:val="baseline"/>
        </w:rPr>
        <w:t> </w:t>
      </w:r>
      <w:r>
        <w:rPr>
          <w:vertAlign w:val="baseline"/>
        </w:rPr>
        <w:t>part of a candidate’s performance, contributions, and achievements in teaching or service.</w:t>
      </w:r>
    </w:p>
    <w:p>
      <w:pPr>
        <w:pStyle w:val="BodyText"/>
        <w:spacing w:before="292"/>
        <w:ind w:left="120" w:right="392" w:firstLine="720"/>
        <w:jc w:val="both"/>
      </w:pPr>
      <w:r>
        <w:rPr/>
        <w:t>The</w:t>
      </w:r>
      <w:r>
        <w:rPr>
          <w:spacing w:val="-2"/>
        </w:rPr>
        <w:t> </w:t>
      </w:r>
      <w:r>
        <w:rPr/>
        <w:t>candidate</w:t>
      </w:r>
      <w:r>
        <w:rPr>
          <w:spacing w:val="-4"/>
        </w:rPr>
        <w:t> </w:t>
      </w:r>
      <w:r>
        <w:rPr/>
        <w:t>will</w:t>
      </w:r>
      <w:r>
        <w:rPr>
          <w:spacing w:val="-4"/>
        </w:rPr>
        <w:t> </w:t>
      </w:r>
      <w:r>
        <w:rPr/>
        <w:t>be</w:t>
      </w:r>
      <w:r>
        <w:rPr>
          <w:spacing w:val="-2"/>
        </w:rPr>
        <w:t> </w:t>
      </w:r>
      <w:r>
        <w:rPr/>
        <w:t>reviewed</w:t>
      </w:r>
      <w:r>
        <w:rPr>
          <w:spacing w:val="-4"/>
        </w:rPr>
        <w:t> </w:t>
      </w:r>
      <w:r>
        <w:rPr/>
        <w:t>by</w:t>
      </w:r>
      <w:r>
        <w:rPr>
          <w:spacing w:val="-5"/>
        </w:rPr>
        <w:t> </w:t>
      </w:r>
      <w:r>
        <w:rPr/>
        <w:t>the</w:t>
      </w:r>
      <w:r>
        <w:rPr>
          <w:spacing w:val="-2"/>
        </w:rPr>
        <w:t> </w:t>
      </w:r>
      <w:r>
        <w:rPr/>
        <w:t>candidate’s</w:t>
      </w:r>
      <w:r>
        <w:rPr>
          <w:spacing w:val="-4"/>
        </w:rPr>
        <w:t> </w:t>
      </w:r>
      <w:r>
        <w:rPr/>
        <w:t>department,</w:t>
      </w:r>
      <w:r>
        <w:rPr>
          <w:spacing w:val="-4"/>
        </w:rPr>
        <w:t> </w:t>
      </w:r>
      <w:r>
        <w:rPr/>
        <w:t>the</w:t>
      </w:r>
      <w:r>
        <w:rPr>
          <w:spacing w:val="-4"/>
        </w:rPr>
        <w:t> </w:t>
      </w:r>
      <w:r>
        <w:rPr/>
        <w:t>Executive</w:t>
      </w:r>
      <w:r>
        <w:rPr>
          <w:spacing w:val="-2"/>
        </w:rPr>
        <w:t> </w:t>
      </w:r>
      <w:r>
        <w:rPr/>
        <w:t>Associate Dean,</w:t>
      </w:r>
      <w:r>
        <w:rPr>
          <w:spacing w:val="-4"/>
        </w:rPr>
        <w:t> </w:t>
      </w:r>
      <w:r>
        <w:rPr/>
        <w:t>and</w:t>
      </w:r>
      <w:r>
        <w:rPr>
          <w:spacing w:val="-3"/>
        </w:rPr>
        <w:t> </w:t>
      </w:r>
      <w:r>
        <w:rPr/>
        <w:t>the</w:t>
      </w:r>
      <w:r>
        <w:rPr>
          <w:spacing w:val="-3"/>
        </w:rPr>
        <w:t> </w:t>
      </w:r>
      <w:r>
        <w:rPr/>
        <w:t>Clinical</w:t>
      </w:r>
      <w:r>
        <w:rPr>
          <w:spacing w:val="-1"/>
        </w:rPr>
        <w:t> </w:t>
      </w:r>
      <w:r>
        <w:rPr/>
        <w:t>Faculty</w:t>
      </w:r>
      <w:r>
        <w:rPr>
          <w:spacing w:val="-2"/>
        </w:rPr>
        <w:t> </w:t>
      </w:r>
      <w:r>
        <w:rPr/>
        <w:t>Review</w:t>
      </w:r>
      <w:r>
        <w:rPr>
          <w:spacing w:val="-3"/>
        </w:rPr>
        <w:t> </w:t>
      </w:r>
      <w:r>
        <w:rPr/>
        <w:t>Committee,</w:t>
      </w:r>
      <w:r>
        <w:rPr>
          <w:spacing w:val="-4"/>
        </w:rPr>
        <w:t> </w:t>
      </w:r>
      <w:r>
        <w:rPr/>
        <w:t>which will</w:t>
      </w:r>
      <w:r>
        <w:rPr>
          <w:spacing w:val="-1"/>
        </w:rPr>
        <w:t> </w:t>
      </w:r>
      <w:r>
        <w:rPr/>
        <w:t>provide</w:t>
      </w:r>
      <w:r>
        <w:rPr>
          <w:spacing w:val="-3"/>
        </w:rPr>
        <w:t> </w:t>
      </w:r>
      <w:r>
        <w:rPr/>
        <w:t>a</w:t>
      </w:r>
      <w:r>
        <w:rPr>
          <w:spacing w:val="-1"/>
        </w:rPr>
        <w:t> </w:t>
      </w:r>
      <w:r>
        <w:rPr/>
        <w:t>recommendation</w:t>
      </w:r>
      <w:r>
        <w:rPr>
          <w:spacing w:val="-3"/>
        </w:rPr>
        <w:t> </w:t>
      </w:r>
      <w:r>
        <w:rPr/>
        <w:t>to</w:t>
      </w:r>
      <w:r>
        <w:rPr>
          <w:spacing w:val="-3"/>
        </w:rPr>
        <w:t> </w:t>
      </w:r>
      <w:r>
        <w:rPr/>
        <w:t>the Dean of the Kelley School of Business.</w:t>
      </w:r>
    </w:p>
    <w:p>
      <w:pPr>
        <w:pStyle w:val="ListParagraph"/>
        <w:numPr>
          <w:ilvl w:val="1"/>
          <w:numId w:val="6"/>
        </w:numPr>
        <w:tabs>
          <w:tab w:pos="1199" w:val="left" w:leader="none"/>
        </w:tabs>
        <w:spacing w:line="240" w:lineRule="auto" w:before="292" w:after="0"/>
        <w:ind w:left="1199" w:right="420" w:hanging="360"/>
        <w:jc w:val="left"/>
        <w:rPr>
          <w:rFonts w:ascii="Symbol" w:hAnsi="Symbol"/>
          <w:sz w:val="22"/>
        </w:rPr>
      </w:pPr>
      <w:r>
        <w:rPr>
          <w:sz w:val="24"/>
        </w:rPr>
        <w:t>For candidates considered for Clinical Associate Professor, a Department faculty advisory</w:t>
      </w:r>
      <w:r>
        <w:rPr>
          <w:spacing w:val="-3"/>
          <w:sz w:val="24"/>
        </w:rPr>
        <w:t> </w:t>
      </w:r>
      <w:r>
        <w:rPr>
          <w:sz w:val="24"/>
        </w:rPr>
        <w:t>vote</w:t>
      </w:r>
      <w:r>
        <w:rPr>
          <w:spacing w:val="-4"/>
          <w:sz w:val="24"/>
        </w:rPr>
        <w:t> </w:t>
      </w:r>
      <w:r>
        <w:rPr>
          <w:sz w:val="24"/>
        </w:rPr>
        <w:t>will</w:t>
      </w:r>
      <w:r>
        <w:rPr>
          <w:spacing w:val="-5"/>
          <w:sz w:val="24"/>
        </w:rPr>
        <w:t> </w:t>
      </w:r>
      <w:r>
        <w:rPr>
          <w:sz w:val="24"/>
        </w:rPr>
        <w:t>be</w:t>
      </w:r>
      <w:r>
        <w:rPr>
          <w:spacing w:val="-4"/>
          <w:sz w:val="24"/>
        </w:rPr>
        <w:t> </w:t>
      </w:r>
      <w:r>
        <w:rPr>
          <w:sz w:val="24"/>
        </w:rPr>
        <w:t>taken</w:t>
      </w:r>
      <w:r>
        <w:rPr>
          <w:spacing w:val="-4"/>
          <w:sz w:val="24"/>
        </w:rPr>
        <w:t> </w:t>
      </w:r>
      <w:r>
        <w:rPr>
          <w:sz w:val="24"/>
        </w:rPr>
        <w:t>with</w:t>
      </w:r>
      <w:r>
        <w:rPr>
          <w:spacing w:val="-1"/>
          <w:sz w:val="24"/>
        </w:rPr>
        <w:t> </w:t>
      </w:r>
      <w:r>
        <w:rPr>
          <w:sz w:val="24"/>
        </w:rPr>
        <w:t>qualified</w:t>
      </w:r>
      <w:r>
        <w:rPr>
          <w:spacing w:val="-4"/>
          <w:sz w:val="24"/>
        </w:rPr>
        <w:t> </w:t>
      </w:r>
      <w:r>
        <w:rPr>
          <w:sz w:val="24"/>
        </w:rPr>
        <w:t>colleagues</w:t>
      </w:r>
      <w:r>
        <w:rPr>
          <w:spacing w:val="-3"/>
          <w:sz w:val="24"/>
        </w:rPr>
        <w:t> </w:t>
      </w:r>
      <w:r>
        <w:rPr>
          <w:sz w:val="24"/>
        </w:rPr>
        <w:t>who</w:t>
      </w:r>
      <w:r>
        <w:rPr>
          <w:spacing w:val="-4"/>
          <w:sz w:val="24"/>
        </w:rPr>
        <w:t> </w:t>
      </w:r>
      <w:r>
        <w:rPr>
          <w:sz w:val="24"/>
        </w:rPr>
        <w:t>are</w:t>
      </w:r>
      <w:r>
        <w:rPr>
          <w:spacing w:val="-4"/>
          <w:sz w:val="24"/>
        </w:rPr>
        <w:t> </w:t>
      </w:r>
      <w:r>
        <w:rPr>
          <w:sz w:val="24"/>
        </w:rPr>
        <w:t>eligible</w:t>
      </w:r>
      <w:r>
        <w:rPr>
          <w:spacing w:val="-2"/>
          <w:sz w:val="24"/>
        </w:rPr>
        <w:t> </w:t>
      </w:r>
      <w:r>
        <w:rPr>
          <w:sz w:val="24"/>
        </w:rPr>
        <w:t>to</w:t>
      </w:r>
      <w:r>
        <w:rPr>
          <w:spacing w:val="-4"/>
          <w:sz w:val="24"/>
        </w:rPr>
        <w:t> </w:t>
      </w:r>
      <w:r>
        <w:rPr>
          <w:sz w:val="24"/>
        </w:rPr>
        <w:t>participate; faculty holding long-term appointments with the rank of Associate Clinical, Full Clinical, Associate Professor, and Full Professor.</w:t>
      </w:r>
    </w:p>
    <w:p>
      <w:pPr>
        <w:pStyle w:val="BodyText"/>
        <w:spacing w:before="39"/>
        <w:rPr>
          <w:sz w:val="20"/>
        </w:rPr>
      </w:pPr>
      <w:r>
        <w:rPr/>
        <mc:AlternateContent>
          <mc:Choice Requires="wps">
            <w:drawing>
              <wp:anchor distT="0" distB="0" distL="0" distR="0" allowOverlap="1" layoutInCell="1" locked="0" behindDoc="1" simplePos="0" relativeHeight="487591936">
                <wp:simplePos x="0" y="0"/>
                <wp:positionH relativeFrom="page">
                  <wp:posOffset>914400</wp:posOffset>
                </wp:positionH>
                <wp:positionV relativeFrom="paragraph">
                  <wp:posOffset>195374</wp:posOffset>
                </wp:positionV>
                <wp:extent cx="1828800" cy="762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5.383794pt;width:144pt;height:.6pt;mso-position-horizontal-relative:page;mso-position-vertical-relative:paragraph;z-index:-15724544;mso-wrap-distance-left:0;mso-wrap-distance-right:0" id="docshape9" filled="true" fillcolor="#000000" stroked="false">
                <v:fill type="solid"/>
                <w10:wrap type="topAndBottom"/>
              </v:rect>
            </w:pict>
          </mc:Fallback>
        </mc:AlternateContent>
      </w:r>
    </w:p>
    <w:p>
      <w:pPr>
        <w:spacing w:before="103"/>
        <w:ind w:left="120" w:right="0" w:firstLine="0"/>
        <w:jc w:val="left"/>
        <w:rPr>
          <w:rFonts w:ascii="Times New Roman"/>
          <w:sz w:val="20"/>
        </w:rPr>
      </w:pPr>
      <w:bookmarkStart w:name="_bookmark9" w:id="21"/>
      <w:bookmarkEnd w:id="21"/>
      <w:r>
        <w:rPr/>
      </w:r>
      <w:r>
        <w:rPr>
          <w:rFonts w:ascii="Times New Roman"/>
          <w:sz w:val="20"/>
          <w:vertAlign w:val="superscript"/>
        </w:rPr>
        <w:t>10</w:t>
      </w:r>
      <w:r>
        <w:rPr>
          <w:rFonts w:ascii="Times New Roman"/>
          <w:spacing w:val="-5"/>
          <w:sz w:val="20"/>
          <w:vertAlign w:val="baseline"/>
        </w:rPr>
        <w:t> </w:t>
      </w:r>
      <w:r>
        <w:rPr>
          <w:rFonts w:ascii="Times New Roman"/>
          <w:sz w:val="20"/>
          <w:vertAlign w:val="baseline"/>
        </w:rPr>
        <w:t>The</w:t>
      </w:r>
      <w:r>
        <w:rPr>
          <w:rFonts w:ascii="Times New Roman"/>
          <w:spacing w:val="-5"/>
          <w:sz w:val="20"/>
          <w:vertAlign w:val="baseline"/>
        </w:rPr>
        <w:t> </w:t>
      </w:r>
      <w:r>
        <w:rPr>
          <w:rFonts w:ascii="Times New Roman"/>
          <w:sz w:val="20"/>
          <w:vertAlign w:val="baseline"/>
        </w:rPr>
        <w:t>Kelley</w:t>
      </w:r>
      <w:r>
        <w:rPr>
          <w:rFonts w:ascii="Times New Roman"/>
          <w:spacing w:val="-4"/>
          <w:sz w:val="20"/>
          <w:vertAlign w:val="baseline"/>
        </w:rPr>
        <w:t> </w:t>
      </w:r>
      <w:r>
        <w:rPr>
          <w:rFonts w:ascii="Times New Roman"/>
          <w:sz w:val="20"/>
          <w:vertAlign w:val="baseline"/>
        </w:rPr>
        <w:t>School</w:t>
      </w:r>
      <w:r>
        <w:rPr>
          <w:rFonts w:ascii="Times New Roman"/>
          <w:spacing w:val="-7"/>
          <w:sz w:val="20"/>
          <w:vertAlign w:val="baseline"/>
        </w:rPr>
        <w:t> </w:t>
      </w:r>
      <w:r>
        <w:rPr>
          <w:rFonts w:ascii="Times New Roman"/>
          <w:sz w:val="20"/>
          <w:vertAlign w:val="baseline"/>
        </w:rPr>
        <w:t>mission</w:t>
      </w:r>
      <w:r>
        <w:rPr>
          <w:rFonts w:ascii="Times New Roman"/>
          <w:spacing w:val="-4"/>
          <w:sz w:val="20"/>
          <w:vertAlign w:val="baseline"/>
        </w:rPr>
        <w:t> </w:t>
      </w:r>
      <w:r>
        <w:rPr>
          <w:rFonts w:ascii="Times New Roman"/>
          <w:sz w:val="20"/>
          <w:vertAlign w:val="baseline"/>
        </w:rPr>
        <w:t>statement</w:t>
      </w:r>
      <w:r>
        <w:rPr>
          <w:rFonts w:ascii="Times New Roman"/>
          <w:spacing w:val="-5"/>
          <w:sz w:val="20"/>
          <w:vertAlign w:val="baseline"/>
        </w:rPr>
        <w:t> </w:t>
      </w:r>
      <w:r>
        <w:rPr>
          <w:rFonts w:ascii="Times New Roman"/>
          <w:sz w:val="20"/>
          <w:vertAlign w:val="baseline"/>
        </w:rPr>
        <w:t>is</w:t>
      </w:r>
      <w:r>
        <w:rPr>
          <w:rFonts w:ascii="Times New Roman"/>
          <w:spacing w:val="-6"/>
          <w:sz w:val="20"/>
          <w:vertAlign w:val="baseline"/>
        </w:rPr>
        <w:t> </w:t>
      </w:r>
      <w:r>
        <w:rPr>
          <w:rFonts w:ascii="Times New Roman"/>
          <w:sz w:val="20"/>
          <w:vertAlign w:val="baseline"/>
        </w:rPr>
        <w:t>available</w:t>
      </w:r>
      <w:r>
        <w:rPr>
          <w:rFonts w:ascii="Times New Roman"/>
          <w:spacing w:val="-5"/>
          <w:sz w:val="20"/>
          <w:vertAlign w:val="baseline"/>
        </w:rPr>
        <w:t> </w:t>
      </w:r>
      <w:r>
        <w:rPr>
          <w:rFonts w:ascii="Times New Roman"/>
          <w:sz w:val="20"/>
          <w:vertAlign w:val="baseline"/>
        </w:rPr>
        <w:t>elsewhere</w:t>
      </w:r>
      <w:r>
        <w:rPr>
          <w:rFonts w:ascii="Times New Roman"/>
          <w:spacing w:val="-4"/>
          <w:sz w:val="20"/>
          <w:vertAlign w:val="baseline"/>
        </w:rPr>
        <w:t> </w:t>
      </w:r>
      <w:r>
        <w:rPr>
          <w:rFonts w:ascii="Times New Roman"/>
          <w:sz w:val="20"/>
          <w:vertAlign w:val="baseline"/>
        </w:rPr>
        <w:t>and</w:t>
      </w:r>
      <w:r>
        <w:rPr>
          <w:rFonts w:ascii="Times New Roman"/>
          <w:spacing w:val="-4"/>
          <w:sz w:val="20"/>
          <w:vertAlign w:val="baseline"/>
        </w:rPr>
        <w:t> </w:t>
      </w:r>
      <w:r>
        <w:rPr>
          <w:rFonts w:ascii="Times New Roman"/>
          <w:sz w:val="20"/>
          <w:vertAlign w:val="baseline"/>
        </w:rPr>
        <w:t>is</w:t>
      </w:r>
      <w:r>
        <w:rPr>
          <w:rFonts w:ascii="Times New Roman"/>
          <w:spacing w:val="-6"/>
          <w:sz w:val="20"/>
          <w:vertAlign w:val="baseline"/>
        </w:rPr>
        <w:t> </w:t>
      </w:r>
      <w:r>
        <w:rPr>
          <w:rFonts w:ascii="Times New Roman"/>
          <w:sz w:val="20"/>
          <w:vertAlign w:val="baseline"/>
        </w:rPr>
        <w:t>not</w:t>
      </w:r>
      <w:r>
        <w:rPr>
          <w:rFonts w:ascii="Times New Roman"/>
          <w:spacing w:val="-5"/>
          <w:sz w:val="20"/>
          <w:vertAlign w:val="baseline"/>
        </w:rPr>
        <w:t> </w:t>
      </w:r>
      <w:r>
        <w:rPr>
          <w:rFonts w:ascii="Times New Roman"/>
          <w:sz w:val="20"/>
          <w:vertAlign w:val="baseline"/>
        </w:rPr>
        <w:t>included</w:t>
      </w:r>
      <w:r>
        <w:rPr>
          <w:rFonts w:ascii="Times New Roman"/>
          <w:spacing w:val="-4"/>
          <w:sz w:val="20"/>
          <w:vertAlign w:val="baseline"/>
        </w:rPr>
        <w:t> </w:t>
      </w:r>
      <w:r>
        <w:rPr>
          <w:rFonts w:ascii="Times New Roman"/>
          <w:sz w:val="20"/>
          <w:vertAlign w:val="baseline"/>
        </w:rPr>
        <w:t>in</w:t>
      </w:r>
      <w:r>
        <w:rPr>
          <w:rFonts w:ascii="Times New Roman"/>
          <w:spacing w:val="-4"/>
          <w:sz w:val="20"/>
          <w:vertAlign w:val="baseline"/>
        </w:rPr>
        <w:t> </w:t>
      </w:r>
      <w:r>
        <w:rPr>
          <w:rFonts w:ascii="Times New Roman"/>
          <w:sz w:val="20"/>
          <w:vertAlign w:val="baseline"/>
        </w:rPr>
        <w:t>this</w:t>
      </w:r>
      <w:r>
        <w:rPr>
          <w:rFonts w:ascii="Times New Roman"/>
          <w:spacing w:val="-5"/>
          <w:sz w:val="20"/>
          <w:vertAlign w:val="baseline"/>
        </w:rPr>
        <w:t> </w:t>
      </w:r>
      <w:r>
        <w:rPr>
          <w:rFonts w:ascii="Times New Roman"/>
          <w:spacing w:val="-2"/>
          <w:sz w:val="20"/>
          <w:vertAlign w:val="baseline"/>
        </w:rPr>
        <w:t>document.</w:t>
      </w:r>
    </w:p>
    <w:p>
      <w:pPr>
        <w:spacing w:after="0"/>
        <w:jc w:val="left"/>
        <w:rPr>
          <w:rFonts w:ascii="Times New Roman"/>
          <w:sz w:val="20"/>
        </w:rPr>
        <w:sectPr>
          <w:pgSz w:w="12240" w:h="15840"/>
          <w:pgMar w:header="0" w:footer="1712" w:top="1400" w:bottom="1900" w:left="1320" w:right="1180"/>
        </w:sectPr>
      </w:pPr>
    </w:p>
    <w:p>
      <w:pPr>
        <w:pStyle w:val="ListParagraph"/>
        <w:numPr>
          <w:ilvl w:val="1"/>
          <w:numId w:val="6"/>
        </w:numPr>
        <w:tabs>
          <w:tab w:pos="1200" w:val="left" w:leader="none"/>
        </w:tabs>
        <w:spacing w:line="240" w:lineRule="auto" w:before="79" w:after="0"/>
        <w:ind w:left="1200" w:right="449" w:hanging="360"/>
        <w:jc w:val="left"/>
        <w:rPr>
          <w:rFonts w:ascii="Symbol" w:hAnsi="Symbol"/>
          <w:sz w:val="22"/>
        </w:rPr>
      </w:pPr>
      <w:r>
        <w:rPr>
          <w:sz w:val="24"/>
        </w:rPr>
        <w:t>For</w:t>
      </w:r>
      <w:r>
        <w:rPr>
          <w:spacing w:val="-3"/>
          <w:sz w:val="24"/>
        </w:rPr>
        <w:t> </w:t>
      </w:r>
      <w:r>
        <w:rPr>
          <w:sz w:val="24"/>
        </w:rPr>
        <w:t>candidates</w:t>
      </w:r>
      <w:r>
        <w:rPr>
          <w:spacing w:val="-4"/>
          <w:sz w:val="24"/>
        </w:rPr>
        <w:t> </w:t>
      </w:r>
      <w:r>
        <w:rPr>
          <w:sz w:val="24"/>
        </w:rPr>
        <w:t>considered</w:t>
      </w:r>
      <w:r>
        <w:rPr>
          <w:spacing w:val="-2"/>
          <w:sz w:val="24"/>
        </w:rPr>
        <w:t> </w:t>
      </w:r>
      <w:r>
        <w:rPr>
          <w:sz w:val="24"/>
        </w:rPr>
        <w:t>for</w:t>
      </w:r>
      <w:r>
        <w:rPr>
          <w:spacing w:val="-3"/>
          <w:sz w:val="24"/>
        </w:rPr>
        <w:t> </w:t>
      </w:r>
      <w:r>
        <w:rPr>
          <w:sz w:val="24"/>
        </w:rPr>
        <w:t>Clinical</w:t>
      </w:r>
      <w:r>
        <w:rPr>
          <w:spacing w:val="-6"/>
          <w:sz w:val="24"/>
        </w:rPr>
        <w:t> </w:t>
      </w:r>
      <w:r>
        <w:rPr>
          <w:sz w:val="24"/>
        </w:rPr>
        <w:t>Full</w:t>
      </w:r>
      <w:r>
        <w:rPr>
          <w:spacing w:val="-6"/>
          <w:sz w:val="24"/>
        </w:rPr>
        <w:t> </w:t>
      </w:r>
      <w:r>
        <w:rPr>
          <w:sz w:val="24"/>
        </w:rPr>
        <w:t>Professor,</w:t>
      </w:r>
      <w:r>
        <w:rPr>
          <w:spacing w:val="-3"/>
          <w:sz w:val="24"/>
        </w:rPr>
        <w:t> </w:t>
      </w:r>
      <w:r>
        <w:rPr>
          <w:sz w:val="24"/>
        </w:rPr>
        <w:t>a</w:t>
      </w:r>
      <w:r>
        <w:rPr>
          <w:spacing w:val="-6"/>
          <w:sz w:val="24"/>
        </w:rPr>
        <w:t> </w:t>
      </w:r>
      <w:r>
        <w:rPr>
          <w:sz w:val="24"/>
        </w:rPr>
        <w:t>Department</w:t>
      </w:r>
      <w:r>
        <w:rPr>
          <w:spacing w:val="-2"/>
          <w:sz w:val="24"/>
        </w:rPr>
        <w:t> </w:t>
      </w:r>
      <w:r>
        <w:rPr>
          <w:sz w:val="24"/>
        </w:rPr>
        <w:t>faculty</w:t>
      </w:r>
      <w:r>
        <w:rPr>
          <w:spacing w:val="-7"/>
          <w:sz w:val="24"/>
        </w:rPr>
        <w:t> </w:t>
      </w:r>
      <w:r>
        <w:rPr>
          <w:sz w:val="24"/>
        </w:rPr>
        <w:t>advisory vote will be taken with qualified colleagues who are eligible to participate; faculty holding long-term appointments with the rank of Full Clinical and Full Professor.</w:t>
      </w:r>
    </w:p>
    <w:p>
      <w:pPr>
        <w:pStyle w:val="BodyText"/>
        <w:spacing w:before="292"/>
        <w:ind w:left="120" w:firstLine="720"/>
      </w:pPr>
      <w:r>
        <w:rPr/>
        <w:t>To ensure</w:t>
      </w:r>
      <w:r>
        <w:rPr>
          <w:spacing w:val="-1"/>
        </w:rPr>
        <w:t> </w:t>
      </w:r>
      <w:r>
        <w:rPr/>
        <w:t>consistency,</w:t>
      </w:r>
      <w:r>
        <w:rPr>
          <w:spacing w:val="-2"/>
        </w:rPr>
        <w:t> </w:t>
      </w:r>
      <w:r>
        <w:rPr/>
        <w:t>the voting</w:t>
      </w:r>
      <w:r>
        <w:rPr>
          <w:spacing w:val="-2"/>
        </w:rPr>
        <w:t> </w:t>
      </w:r>
      <w:r>
        <w:rPr/>
        <w:t>procedure used by</w:t>
      </w:r>
      <w:r>
        <w:rPr>
          <w:spacing w:val="-3"/>
        </w:rPr>
        <w:t> </w:t>
      </w:r>
      <w:r>
        <w:rPr/>
        <w:t>the department</w:t>
      </w:r>
      <w:r>
        <w:rPr>
          <w:spacing w:val="-1"/>
        </w:rPr>
        <w:t> </w:t>
      </w:r>
      <w:r>
        <w:rPr/>
        <w:t>shall be</w:t>
      </w:r>
      <w:r>
        <w:rPr>
          <w:spacing w:val="-1"/>
        </w:rPr>
        <w:t> </w:t>
      </w:r>
      <w:r>
        <w:rPr/>
        <w:t>identical</w:t>
      </w:r>
      <w:r>
        <w:rPr>
          <w:spacing w:val="-2"/>
        </w:rPr>
        <w:t> </w:t>
      </w:r>
      <w:r>
        <w:rPr/>
        <w:t>to the</w:t>
      </w:r>
      <w:r>
        <w:rPr>
          <w:spacing w:val="-3"/>
        </w:rPr>
        <w:t> </w:t>
      </w:r>
      <w:r>
        <w:rPr/>
        <w:t>procedure</w:t>
      </w:r>
      <w:r>
        <w:rPr>
          <w:spacing w:val="-3"/>
        </w:rPr>
        <w:t> </w:t>
      </w:r>
      <w:r>
        <w:rPr/>
        <w:t>used</w:t>
      </w:r>
      <w:r>
        <w:rPr>
          <w:spacing w:val="-3"/>
        </w:rPr>
        <w:t> </w:t>
      </w:r>
      <w:r>
        <w:rPr/>
        <w:t>by</w:t>
      </w:r>
      <w:r>
        <w:rPr>
          <w:spacing w:val="-5"/>
        </w:rPr>
        <w:t> </w:t>
      </w:r>
      <w:r>
        <w:rPr/>
        <w:t>the</w:t>
      </w:r>
      <w:r>
        <w:rPr>
          <w:spacing w:val="-2"/>
        </w:rPr>
        <w:t> </w:t>
      </w:r>
      <w:r>
        <w:rPr/>
        <w:t>Clinical</w:t>
      </w:r>
      <w:r>
        <w:rPr>
          <w:spacing w:val="-4"/>
        </w:rPr>
        <w:t> </w:t>
      </w:r>
      <w:r>
        <w:rPr/>
        <w:t>Faculty</w:t>
      </w:r>
      <w:r>
        <w:rPr>
          <w:spacing w:val="-5"/>
        </w:rPr>
        <w:t> </w:t>
      </w:r>
      <w:r>
        <w:rPr/>
        <w:t>Review</w:t>
      </w:r>
      <w:r>
        <w:rPr>
          <w:spacing w:val="-1"/>
        </w:rPr>
        <w:t> </w:t>
      </w:r>
      <w:r>
        <w:rPr/>
        <w:t>Committee,</w:t>
      </w:r>
      <w:r>
        <w:rPr>
          <w:spacing w:val="-2"/>
        </w:rPr>
        <w:t> </w:t>
      </w:r>
      <w:r>
        <w:rPr/>
        <w:t>described</w:t>
      </w:r>
      <w:r>
        <w:rPr>
          <w:spacing w:val="-3"/>
        </w:rPr>
        <w:t> </w:t>
      </w:r>
      <w:r>
        <w:rPr/>
        <w:t>in</w:t>
      </w:r>
      <w:r>
        <w:rPr>
          <w:spacing w:val="-1"/>
        </w:rPr>
        <w:t> </w:t>
      </w:r>
      <w:r>
        <w:rPr/>
        <w:t>the</w:t>
      </w:r>
      <w:r>
        <w:rPr>
          <w:spacing w:val="-3"/>
        </w:rPr>
        <w:t> </w:t>
      </w:r>
      <w:r>
        <w:rPr/>
        <w:t>paragraph</w:t>
      </w:r>
      <w:r>
        <w:rPr>
          <w:spacing w:val="-5"/>
        </w:rPr>
        <w:t> </w:t>
      </w:r>
      <w:r>
        <w:rPr/>
        <w:t>below. The Department faculty advisory vote shall be documented and supported by a written statement/report. This vote and the Department’s report shall be given to the Clinical Faculty Review Committee and the Executive Associate Dean.</w:t>
      </w:r>
    </w:p>
    <w:p>
      <w:pPr>
        <w:pStyle w:val="BodyText"/>
        <w:spacing w:before="2"/>
      </w:pPr>
    </w:p>
    <w:p>
      <w:pPr>
        <w:pStyle w:val="BodyText"/>
        <w:ind w:left="119" w:right="182" w:firstLine="720"/>
      </w:pPr>
      <w:r>
        <w:rPr/>
        <w:t>As part of the promotional process, the Executive Associate Dean will prepare a statement reviewing the candidate’s qualifications after having received input from the candidate’s</w:t>
      </w:r>
      <w:r>
        <w:rPr>
          <w:spacing w:val="-5"/>
        </w:rPr>
        <w:t> </w:t>
      </w:r>
      <w:r>
        <w:rPr/>
        <w:t>department</w:t>
      </w:r>
      <w:r>
        <w:rPr>
          <w:spacing w:val="-4"/>
        </w:rPr>
        <w:t> </w:t>
      </w:r>
      <w:r>
        <w:rPr/>
        <w:t>colleagues</w:t>
      </w:r>
      <w:r>
        <w:rPr>
          <w:spacing w:val="-3"/>
        </w:rPr>
        <w:t> </w:t>
      </w:r>
      <w:r>
        <w:rPr/>
        <w:t>regarding</w:t>
      </w:r>
      <w:r>
        <w:rPr>
          <w:spacing w:val="-5"/>
        </w:rPr>
        <w:t> </w:t>
      </w:r>
      <w:r>
        <w:rPr/>
        <w:t>the</w:t>
      </w:r>
      <w:r>
        <w:rPr>
          <w:spacing w:val="-7"/>
        </w:rPr>
        <w:t> </w:t>
      </w:r>
      <w:r>
        <w:rPr/>
        <w:t>candidate’s</w:t>
      </w:r>
      <w:r>
        <w:rPr>
          <w:spacing w:val="-5"/>
        </w:rPr>
        <w:t> </w:t>
      </w:r>
      <w:r>
        <w:rPr/>
        <w:t>teaching</w:t>
      </w:r>
      <w:r>
        <w:rPr>
          <w:spacing w:val="-3"/>
        </w:rPr>
        <w:t> </w:t>
      </w:r>
      <w:r>
        <w:rPr/>
        <w:t>and</w:t>
      </w:r>
      <w:r>
        <w:rPr>
          <w:spacing w:val="-4"/>
        </w:rPr>
        <w:t> </w:t>
      </w:r>
      <w:r>
        <w:rPr/>
        <w:t>service</w:t>
      </w:r>
      <w:r>
        <w:rPr>
          <w:spacing w:val="-2"/>
        </w:rPr>
        <w:t> </w:t>
      </w:r>
      <w:r>
        <w:rPr/>
        <w:t>contributions.</w:t>
      </w:r>
    </w:p>
    <w:p>
      <w:pPr>
        <w:pStyle w:val="BodyText"/>
        <w:spacing w:before="292"/>
        <w:ind w:left="119" w:right="173" w:firstLine="720"/>
      </w:pPr>
      <w:r>
        <w:rPr/>
        <w:t>The Clinical Faculty Review Committee is a standing committee appointed by the Executive Associate Dean of Faculty and Research. This committee is responsible for examining the</w:t>
      </w:r>
      <w:r>
        <w:rPr>
          <w:spacing w:val="-4"/>
        </w:rPr>
        <w:t> </w:t>
      </w:r>
      <w:r>
        <w:rPr/>
        <w:t>candidate’s</w:t>
      </w:r>
      <w:r>
        <w:rPr>
          <w:spacing w:val="-3"/>
        </w:rPr>
        <w:t> </w:t>
      </w:r>
      <w:r>
        <w:rPr/>
        <w:t>total</w:t>
      </w:r>
      <w:r>
        <w:rPr>
          <w:spacing w:val="-5"/>
        </w:rPr>
        <w:t> </w:t>
      </w:r>
      <w:r>
        <w:rPr/>
        <w:t>record</w:t>
      </w:r>
      <w:r>
        <w:rPr>
          <w:spacing w:val="-1"/>
        </w:rPr>
        <w:t> </w:t>
      </w:r>
      <w:r>
        <w:rPr/>
        <w:t>in</w:t>
      </w:r>
      <w:r>
        <w:rPr>
          <w:spacing w:val="-1"/>
        </w:rPr>
        <w:t> </w:t>
      </w:r>
      <w:r>
        <w:rPr/>
        <w:t>a</w:t>
      </w:r>
      <w:r>
        <w:rPr>
          <w:spacing w:val="-5"/>
        </w:rPr>
        <w:t> </w:t>
      </w:r>
      <w:r>
        <w:rPr/>
        <w:t>comprehensive</w:t>
      </w:r>
      <w:r>
        <w:rPr>
          <w:spacing w:val="-4"/>
        </w:rPr>
        <w:t> </w:t>
      </w:r>
      <w:r>
        <w:rPr/>
        <w:t>and</w:t>
      </w:r>
      <w:r>
        <w:rPr>
          <w:spacing w:val="-4"/>
        </w:rPr>
        <w:t> </w:t>
      </w:r>
      <w:r>
        <w:rPr/>
        <w:t>rigorous</w:t>
      </w:r>
      <w:r>
        <w:rPr>
          <w:spacing w:val="-3"/>
        </w:rPr>
        <w:t> </w:t>
      </w:r>
      <w:r>
        <w:rPr/>
        <w:t>fashion.</w:t>
      </w:r>
      <w:r>
        <w:rPr>
          <w:spacing w:val="-3"/>
        </w:rPr>
        <w:t> </w:t>
      </w:r>
      <w:r>
        <w:rPr/>
        <w:t>The</w:t>
      </w:r>
      <w:r>
        <w:rPr>
          <w:spacing w:val="-2"/>
        </w:rPr>
        <w:t> </w:t>
      </w:r>
      <w:r>
        <w:rPr/>
        <w:t>committee’s</w:t>
      </w:r>
      <w:r>
        <w:rPr>
          <w:spacing w:val="-5"/>
        </w:rPr>
        <w:t> </w:t>
      </w:r>
      <w:r>
        <w:rPr/>
        <w:t>members should vote on the candidate regarding recommending promotion. The decision to promote should be based on one of the following conditions:</w:t>
      </w:r>
    </w:p>
    <w:p>
      <w:pPr>
        <w:pStyle w:val="ListParagraph"/>
        <w:numPr>
          <w:ilvl w:val="0"/>
          <w:numId w:val="7"/>
        </w:numPr>
        <w:tabs>
          <w:tab w:pos="1200" w:val="left" w:leader="none"/>
        </w:tabs>
        <w:spacing w:line="240" w:lineRule="auto" w:before="292" w:after="0"/>
        <w:ind w:left="1200" w:right="272" w:hanging="360"/>
        <w:jc w:val="left"/>
        <w:rPr>
          <w:sz w:val="24"/>
        </w:rPr>
      </w:pPr>
      <w:r>
        <w:rPr>
          <w:sz w:val="24"/>
        </w:rPr>
        <w:t>Achieve</w:t>
      </w:r>
      <w:r>
        <w:rPr>
          <w:spacing w:val="-2"/>
          <w:sz w:val="24"/>
        </w:rPr>
        <w:t> </w:t>
      </w:r>
      <w:r>
        <w:rPr>
          <w:sz w:val="24"/>
        </w:rPr>
        <w:t>a</w:t>
      </w:r>
      <w:r>
        <w:rPr>
          <w:spacing w:val="-5"/>
          <w:sz w:val="24"/>
        </w:rPr>
        <w:t> </w:t>
      </w:r>
      <w:r>
        <w:rPr>
          <w:sz w:val="24"/>
        </w:rPr>
        <w:t>rating</w:t>
      </w:r>
      <w:r>
        <w:rPr>
          <w:spacing w:val="-3"/>
          <w:sz w:val="24"/>
        </w:rPr>
        <w:t> </w:t>
      </w:r>
      <w:r>
        <w:rPr>
          <w:sz w:val="24"/>
        </w:rPr>
        <w:t>of</w:t>
      </w:r>
      <w:r>
        <w:rPr>
          <w:spacing w:val="-1"/>
          <w:sz w:val="24"/>
        </w:rPr>
        <w:t> </w:t>
      </w:r>
      <w:r>
        <w:rPr>
          <w:i/>
          <w:sz w:val="24"/>
        </w:rPr>
        <w:t>excellent</w:t>
      </w:r>
      <w:r>
        <w:rPr>
          <w:i/>
          <w:spacing w:val="-1"/>
          <w:sz w:val="24"/>
        </w:rPr>
        <w:t> </w:t>
      </w:r>
      <w:r>
        <w:rPr>
          <w:sz w:val="24"/>
        </w:rPr>
        <w:t>in</w:t>
      </w:r>
      <w:r>
        <w:rPr>
          <w:spacing w:val="-4"/>
          <w:sz w:val="24"/>
        </w:rPr>
        <w:t> </w:t>
      </w:r>
      <w:r>
        <w:rPr>
          <w:sz w:val="24"/>
        </w:rPr>
        <w:t>one</w:t>
      </w:r>
      <w:r>
        <w:rPr>
          <w:spacing w:val="-2"/>
          <w:sz w:val="24"/>
        </w:rPr>
        <w:t> </w:t>
      </w:r>
      <w:r>
        <w:rPr>
          <w:sz w:val="24"/>
        </w:rPr>
        <w:t>category</w:t>
      </w:r>
      <w:r>
        <w:rPr>
          <w:spacing w:val="-3"/>
          <w:sz w:val="24"/>
        </w:rPr>
        <w:t> </w:t>
      </w:r>
      <w:r>
        <w:rPr>
          <w:sz w:val="24"/>
        </w:rPr>
        <w:t>of</w:t>
      </w:r>
      <w:r>
        <w:rPr>
          <w:spacing w:val="-1"/>
          <w:sz w:val="24"/>
        </w:rPr>
        <w:t> </w:t>
      </w:r>
      <w:r>
        <w:rPr>
          <w:sz w:val="24"/>
        </w:rPr>
        <w:t>evaluation</w:t>
      </w:r>
      <w:r>
        <w:rPr>
          <w:spacing w:val="-1"/>
          <w:sz w:val="24"/>
        </w:rPr>
        <w:t> </w:t>
      </w:r>
      <w:r>
        <w:rPr>
          <w:sz w:val="24"/>
        </w:rPr>
        <w:t>(teaching</w:t>
      </w:r>
      <w:r>
        <w:rPr>
          <w:spacing w:val="-3"/>
          <w:sz w:val="24"/>
        </w:rPr>
        <w:t> </w:t>
      </w:r>
      <w:r>
        <w:rPr>
          <w:sz w:val="24"/>
        </w:rPr>
        <w:t>or</w:t>
      </w:r>
      <w:r>
        <w:rPr>
          <w:spacing w:val="-5"/>
          <w:sz w:val="24"/>
        </w:rPr>
        <w:t> </w:t>
      </w:r>
      <w:r>
        <w:rPr>
          <w:sz w:val="24"/>
        </w:rPr>
        <w:t>service)</w:t>
      </w:r>
      <w:r>
        <w:rPr>
          <w:spacing w:val="-3"/>
          <w:sz w:val="24"/>
        </w:rPr>
        <w:t> </w:t>
      </w:r>
      <w:r>
        <w:rPr>
          <w:sz w:val="24"/>
        </w:rPr>
        <w:t>and</w:t>
      </w:r>
      <w:r>
        <w:rPr>
          <w:spacing w:val="-1"/>
          <w:sz w:val="24"/>
        </w:rPr>
        <w:t> </w:t>
      </w:r>
      <w:r>
        <w:rPr>
          <w:sz w:val="24"/>
        </w:rPr>
        <w:t>a rating of at least </w:t>
      </w:r>
      <w:r>
        <w:rPr>
          <w:i/>
          <w:sz w:val="24"/>
        </w:rPr>
        <w:t>satisfactory </w:t>
      </w:r>
      <w:r>
        <w:rPr>
          <w:sz w:val="24"/>
        </w:rPr>
        <w:t>in the other category of evaluation; </w:t>
      </w:r>
      <w:r>
        <w:rPr>
          <w:sz w:val="24"/>
          <w:u w:val="single"/>
        </w:rPr>
        <w:t>or</w:t>
      </w:r>
    </w:p>
    <w:p>
      <w:pPr>
        <w:pStyle w:val="BodyText"/>
        <w:spacing w:before="2"/>
      </w:pPr>
    </w:p>
    <w:p>
      <w:pPr>
        <w:pStyle w:val="ListParagraph"/>
        <w:numPr>
          <w:ilvl w:val="0"/>
          <w:numId w:val="7"/>
        </w:numPr>
        <w:tabs>
          <w:tab w:pos="1200" w:val="left" w:leader="none"/>
        </w:tabs>
        <w:spacing w:line="240" w:lineRule="auto" w:before="0" w:after="0"/>
        <w:ind w:left="1200" w:right="166" w:hanging="360"/>
        <w:jc w:val="left"/>
        <w:rPr>
          <w:sz w:val="24"/>
        </w:rPr>
      </w:pPr>
      <w:r>
        <w:rPr>
          <w:sz w:val="24"/>
        </w:rPr>
        <w:t>Demonstrate balanced strengths that indicate overall performance whose benefit to the</w:t>
      </w:r>
      <w:r>
        <w:rPr>
          <w:spacing w:val="-4"/>
          <w:sz w:val="24"/>
        </w:rPr>
        <w:t> </w:t>
      </w:r>
      <w:r>
        <w:rPr>
          <w:sz w:val="24"/>
        </w:rPr>
        <w:t>University</w:t>
      </w:r>
      <w:r>
        <w:rPr>
          <w:spacing w:val="-3"/>
          <w:sz w:val="24"/>
        </w:rPr>
        <w:t> </w:t>
      </w:r>
      <w:r>
        <w:rPr>
          <w:sz w:val="24"/>
        </w:rPr>
        <w:t>is</w:t>
      </w:r>
      <w:r>
        <w:rPr>
          <w:spacing w:val="-3"/>
          <w:sz w:val="24"/>
        </w:rPr>
        <w:t> </w:t>
      </w:r>
      <w:r>
        <w:rPr>
          <w:sz w:val="24"/>
        </w:rPr>
        <w:t>comparable</w:t>
      </w:r>
      <w:r>
        <w:rPr>
          <w:spacing w:val="-2"/>
          <w:sz w:val="24"/>
        </w:rPr>
        <w:t> </w:t>
      </w:r>
      <w:r>
        <w:rPr>
          <w:sz w:val="24"/>
        </w:rPr>
        <w:t>in</w:t>
      </w:r>
      <w:r>
        <w:rPr>
          <w:spacing w:val="-2"/>
          <w:sz w:val="24"/>
        </w:rPr>
        <w:t> </w:t>
      </w:r>
      <w:r>
        <w:rPr>
          <w:sz w:val="24"/>
        </w:rPr>
        <w:t>value</w:t>
      </w:r>
      <w:r>
        <w:rPr>
          <w:spacing w:val="-4"/>
          <w:sz w:val="24"/>
        </w:rPr>
        <w:t> </w:t>
      </w:r>
      <w:r>
        <w:rPr>
          <w:sz w:val="24"/>
        </w:rPr>
        <w:t>to</w:t>
      </w:r>
      <w:r>
        <w:rPr>
          <w:spacing w:val="-4"/>
          <w:sz w:val="24"/>
        </w:rPr>
        <w:t> </w:t>
      </w:r>
      <w:r>
        <w:rPr>
          <w:sz w:val="24"/>
        </w:rPr>
        <w:t>the</w:t>
      </w:r>
      <w:r>
        <w:rPr>
          <w:spacing w:val="-2"/>
          <w:sz w:val="24"/>
        </w:rPr>
        <w:t> </w:t>
      </w:r>
      <w:r>
        <w:rPr>
          <w:sz w:val="24"/>
        </w:rPr>
        <w:t>benefit</w:t>
      </w:r>
      <w:r>
        <w:rPr>
          <w:spacing w:val="-2"/>
          <w:sz w:val="24"/>
        </w:rPr>
        <w:t> </w:t>
      </w:r>
      <w:r>
        <w:rPr>
          <w:sz w:val="24"/>
        </w:rPr>
        <w:t>contemplated</w:t>
      </w:r>
      <w:r>
        <w:rPr>
          <w:spacing w:val="-2"/>
          <w:sz w:val="24"/>
        </w:rPr>
        <w:t> </w:t>
      </w:r>
      <w:r>
        <w:rPr>
          <w:sz w:val="24"/>
        </w:rPr>
        <w:t>under</w:t>
      </w:r>
      <w:r>
        <w:rPr>
          <w:spacing w:val="-2"/>
          <w:sz w:val="24"/>
        </w:rPr>
        <w:t> </w:t>
      </w:r>
      <w:r>
        <w:rPr>
          <w:sz w:val="24"/>
        </w:rPr>
        <w:t>option</w:t>
      </w:r>
      <w:r>
        <w:rPr>
          <w:spacing w:val="-2"/>
          <w:sz w:val="24"/>
        </w:rPr>
        <w:t> </w:t>
      </w:r>
      <w:r>
        <w:rPr>
          <w:sz w:val="24"/>
        </w:rPr>
        <w:t>(a).</w:t>
      </w:r>
      <w:r>
        <w:rPr>
          <w:spacing w:val="40"/>
          <w:sz w:val="24"/>
        </w:rPr>
        <w:t> </w:t>
      </w:r>
      <w:r>
        <w:rPr>
          <w:sz w:val="24"/>
        </w:rPr>
        <w:t>A Clinical faculty member has three options for the balanced case.</w:t>
      </w:r>
    </w:p>
    <w:p>
      <w:pPr>
        <w:pStyle w:val="ListParagraph"/>
        <w:numPr>
          <w:ilvl w:val="1"/>
          <w:numId w:val="7"/>
        </w:numPr>
        <w:tabs>
          <w:tab w:pos="1919" w:val="left" w:leader="none"/>
        </w:tabs>
        <w:spacing w:line="292" w:lineRule="exact" w:before="0" w:after="0"/>
        <w:ind w:left="1919" w:right="0" w:hanging="359"/>
        <w:jc w:val="left"/>
        <w:rPr>
          <w:sz w:val="24"/>
        </w:rPr>
      </w:pPr>
      <w:bookmarkStart w:name="1. Balanced-Binned" w:id="22"/>
      <w:bookmarkEnd w:id="22"/>
      <w:r>
        <w:rPr/>
      </w:r>
      <w:r>
        <w:rPr>
          <w:sz w:val="24"/>
        </w:rPr>
        <w:t>Balanced-</w:t>
      </w:r>
      <w:r>
        <w:rPr>
          <w:spacing w:val="-2"/>
          <w:sz w:val="24"/>
        </w:rPr>
        <w:t>Binned</w:t>
      </w:r>
    </w:p>
    <w:p>
      <w:pPr>
        <w:pStyle w:val="ListParagraph"/>
        <w:numPr>
          <w:ilvl w:val="1"/>
          <w:numId w:val="7"/>
        </w:numPr>
        <w:tabs>
          <w:tab w:pos="1918" w:val="left" w:leader="none"/>
        </w:tabs>
        <w:spacing w:line="240" w:lineRule="auto" w:before="0" w:after="0"/>
        <w:ind w:left="1918" w:right="0" w:hanging="359"/>
        <w:jc w:val="left"/>
        <w:rPr>
          <w:sz w:val="24"/>
        </w:rPr>
      </w:pPr>
      <w:bookmarkStart w:name="2. Balanced-Integrative Diversity, Equit" w:id="23"/>
      <w:bookmarkEnd w:id="23"/>
      <w:r>
        <w:rPr/>
      </w:r>
      <w:r>
        <w:rPr>
          <w:sz w:val="24"/>
        </w:rPr>
        <w:t>Balanced-Integrative</w:t>
      </w:r>
      <w:r>
        <w:rPr>
          <w:spacing w:val="-8"/>
          <w:sz w:val="24"/>
        </w:rPr>
        <w:t> </w:t>
      </w:r>
      <w:r>
        <w:rPr>
          <w:sz w:val="24"/>
        </w:rPr>
        <w:t>Diversity,</w:t>
      </w:r>
      <w:r>
        <w:rPr>
          <w:spacing w:val="-3"/>
          <w:sz w:val="24"/>
        </w:rPr>
        <w:t> </w:t>
      </w:r>
      <w:r>
        <w:rPr>
          <w:sz w:val="24"/>
        </w:rPr>
        <w:t>Equity,</w:t>
      </w:r>
      <w:r>
        <w:rPr>
          <w:spacing w:val="-3"/>
          <w:sz w:val="24"/>
        </w:rPr>
        <w:t> </w:t>
      </w:r>
      <w:r>
        <w:rPr>
          <w:sz w:val="24"/>
        </w:rPr>
        <w:t>and</w:t>
      </w:r>
      <w:r>
        <w:rPr>
          <w:spacing w:val="-2"/>
          <w:sz w:val="24"/>
        </w:rPr>
        <w:t> </w:t>
      </w:r>
      <w:r>
        <w:rPr>
          <w:sz w:val="24"/>
        </w:rPr>
        <w:t>Inclusion</w:t>
      </w:r>
      <w:r>
        <w:rPr>
          <w:spacing w:val="-3"/>
          <w:sz w:val="24"/>
        </w:rPr>
        <w:t> </w:t>
      </w:r>
      <w:r>
        <w:rPr>
          <w:spacing w:val="-2"/>
          <w:sz w:val="24"/>
        </w:rPr>
        <w:t>(DEI)</w:t>
      </w:r>
    </w:p>
    <w:p>
      <w:pPr>
        <w:pStyle w:val="ListParagraph"/>
        <w:numPr>
          <w:ilvl w:val="1"/>
          <w:numId w:val="7"/>
        </w:numPr>
        <w:tabs>
          <w:tab w:pos="1918" w:val="left" w:leader="none"/>
        </w:tabs>
        <w:spacing w:line="240" w:lineRule="auto" w:before="0" w:after="0"/>
        <w:ind w:left="1918" w:right="0" w:hanging="359"/>
        <w:jc w:val="left"/>
        <w:rPr>
          <w:sz w:val="24"/>
        </w:rPr>
      </w:pPr>
      <w:bookmarkStart w:name="3. Balanced-Integrative" w:id="24"/>
      <w:bookmarkEnd w:id="24"/>
      <w:r>
        <w:rPr/>
      </w:r>
      <w:r>
        <w:rPr>
          <w:sz w:val="24"/>
        </w:rPr>
        <w:t>Balanced-</w:t>
      </w:r>
      <w:r>
        <w:rPr>
          <w:spacing w:val="-2"/>
          <w:sz w:val="24"/>
        </w:rPr>
        <w:t>Integrative</w:t>
      </w:r>
    </w:p>
    <w:p>
      <w:pPr>
        <w:pStyle w:val="BodyText"/>
        <w:spacing w:before="292"/>
        <w:ind w:left="119" w:right="118" w:firstLine="720"/>
      </w:pPr>
      <w:r>
        <w:rPr/>
        <w:t>The Clinical Faculty Review Committee’s vote shall be documented and supported by a written statement/report. The Department faculty advisory vote, the Executive Associate Dean’s vote, and the Faculty Review Committee’s vote along with their respective reports shall be given to the Executive Associate Dean of Faculty and Research, who in turn, will provide a recommendation</w:t>
      </w:r>
      <w:r>
        <w:rPr>
          <w:spacing w:val="-4"/>
        </w:rPr>
        <w:t> </w:t>
      </w:r>
      <w:r>
        <w:rPr/>
        <w:t>to</w:t>
      </w:r>
      <w:r>
        <w:rPr>
          <w:spacing w:val="-4"/>
        </w:rPr>
        <w:t> </w:t>
      </w:r>
      <w:r>
        <w:rPr/>
        <w:t>the</w:t>
      </w:r>
      <w:r>
        <w:rPr>
          <w:spacing w:val="-4"/>
        </w:rPr>
        <w:t> </w:t>
      </w:r>
      <w:r>
        <w:rPr/>
        <w:t>Dean</w:t>
      </w:r>
      <w:r>
        <w:rPr>
          <w:spacing w:val="-4"/>
        </w:rPr>
        <w:t> </w:t>
      </w:r>
      <w:r>
        <w:rPr/>
        <w:t>of</w:t>
      </w:r>
      <w:r>
        <w:rPr>
          <w:spacing w:val="-4"/>
        </w:rPr>
        <w:t> </w:t>
      </w:r>
      <w:r>
        <w:rPr/>
        <w:t>the</w:t>
      </w:r>
      <w:r>
        <w:rPr>
          <w:spacing w:val="-2"/>
        </w:rPr>
        <w:t> </w:t>
      </w:r>
      <w:r>
        <w:rPr/>
        <w:t>Kelley</w:t>
      </w:r>
      <w:r>
        <w:rPr>
          <w:spacing w:val="-3"/>
        </w:rPr>
        <w:t> </w:t>
      </w:r>
      <w:r>
        <w:rPr/>
        <w:t>School</w:t>
      </w:r>
      <w:r>
        <w:rPr>
          <w:spacing w:val="-2"/>
        </w:rPr>
        <w:t> </w:t>
      </w:r>
      <w:r>
        <w:rPr/>
        <w:t>of</w:t>
      </w:r>
      <w:r>
        <w:rPr>
          <w:spacing w:val="-4"/>
        </w:rPr>
        <w:t> </w:t>
      </w:r>
      <w:r>
        <w:rPr/>
        <w:t>Business.</w:t>
      </w:r>
      <w:r>
        <w:rPr>
          <w:spacing w:val="-4"/>
        </w:rPr>
        <w:t> </w:t>
      </w:r>
      <w:r>
        <w:rPr/>
        <w:t>Once</w:t>
      </w:r>
      <w:r>
        <w:rPr>
          <w:spacing w:val="-4"/>
        </w:rPr>
        <w:t> </w:t>
      </w:r>
      <w:r>
        <w:rPr/>
        <w:t>the</w:t>
      </w:r>
      <w:r>
        <w:rPr>
          <w:spacing w:val="-4"/>
        </w:rPr>
        <w:t> </w:t>
      </w:r>
      <w:r>
        <w:rPr/>
        <w:t>Dean’s</w:t>
      </w:r>
      <w:r>
        <w:rPr>
          <w:spacing w:val="-3"/>
        </w:rPr>
        <w:t> </w:t>
      </w:r>
      <w:r>
        <w:rPr/>
        <w:t>recommendation regarding the promotion case is added to the dossier, it is forwarded to the appropriate campus promotion and tenure committee.</w:t>
      </w:r>
    </w:p>
    <w:p>
      <w:pPr>
        <w:pStyle w:val="BodyText"/>
        <w:spacing w:before="1"/>
      </w:pPr>
    </w:p>
    <w:p>
      <w:pPr>
        <w:pStyle w:val="ListParagraph"/>
        <w:numPr>
          <w:ilvl w:val="0"/>
          <w:numId w:val="6"/>
        </w:numPr>
        <w:tabs>
          <w:tab w:pos="1135" w:val="left" w:leader="none"/>
        </w:tabs>
        <w:spacing w:line="240" w:lineRule="auto" w:before="0" w:after="0"/>
        <w:ind w:left="119" w:right="242" w:firstLine="720"/>
        <w:jc w:val="left"/>
        <w:rPr>
          <w:b/>
          <w:sz w:val="24"/>
        </w:rPr>
      </w:pPr>
      <w:r>
        <w:rPr>
          <w:b/>
          <w:i/>
          <w:sz w:val="24"/>
        </w:rPr>
        <w:t>Decisions</w:t>
      </w:r>
      <w:r>
        <w:rPr>
          <w:b/>
          <w:i/>
          <w:spacing w:val="-4"/>
          <w:sz w:val="24"/>
        </w:rPr>
        <w:t> </w:t>
      </w:r>
      <w:r>
        <w:rPr>
          <w:b/>
          <w:i/>
          <w:sz w:val="24"/>
        </w:rPr>
        <w:t>Denying</w:t>
      </w:r>
      <w:r>
        <w:rPr>
          <w:b/>
          <w:i/>
          <w:spacing w:val="-2"/>
          <w:sz w:val="24"/>
        </w:rPr>
        <w:t> </w:t>
      </w:r>
      <w:r>
        <w:rPr>
          <w:b/>
          <w:i/>
          <w:sz w:val="24"/>
        </w:rPr>
        <w:t>Promotion.</w:t>
      </w:r>
      <w:r>
        <w:rPr>
          <w:b/>
          <w:i/>
          <w:spacing w:val="40"/>
          <w:sz w:val="24"/>
        </w:rPr>
        <w:t> </w:t>
      </w:r>
      <w:r>
        <w:rPr>
          <w:sz w:val="24"/>
        </w:rPr>
        <w:t>When</w:t>
      </w:r>
      <w:r>
        <w:rPr>
          <w:spacing w:val="-1"/>
          <w:sz w:val="24"/>
        </w:rPr>
        <w:t> </w:t>
      </w:r>
      <w:r>
        <w:rPr>
          <w:sz w:val="24"/>
        </w:rPr>
        <w:t>a</w:t>
      </w:r>
      <w:r>
        <w:rPr>
          <w:spacing w:val="-5"/>
          <w:sz w:val="24"/>
        </w:rPr>
        <w:t> </w:t>
      </w:r>
      <w:r>
        <w:rPr>
          <w:sz w:val="24"/>
        </w:rPr>
        <w:t>candidate</w:t>
      </w:r>
      <w:r>
        <w:rPr>
          <w:spacing w:val="-4"/>
          <w:sz w:val="24"/>
        </w:rPr>
        <w:t> </w:t>
      </w:r>
      <w:r>
        <w:rPr>
          <w:sz w:val="24"/>
        </w:rPr>
        <w:t>for</w:t>
      </w:r>
      <w:r>
        <w:rPr>
          <w:spacing w:val="-2"/>
          <w:sz w:val="24"/>
        </w:rPr>
        <w:t> </w:t>
      </w:r>
      <w:r>
        <w:rPr>
          <w:sz w:val="24"/>
        </w:rPr>
        <w:t>promotion</w:t>
      </w:r>
      <w:r>
        <w:rPr>
          <w:spacing w:val="-4"/>
          <w:sz w:val="24"/>
        </w:rPr>
        <w:t> </w:t>
      </w:r>
      <w:r>
        <w:rPr>
          <w:sz w:val="24"/>
        </w:rPr>
        <w:t>is</w:t>
      </w:r>
      <w:r>
        <w:rPr>
          <w:spacing w:val="-5"/>
          <w:sz w:val="24"/>
        </w:rPr>
        <w:t> </w:t>
      </w:r>
      <w:r>
        <w:rPr>
          <w:sz w:val="24"/>
        </w:rPr>
        <w:t>not</w:t>
      </w:r>
      <w:r>
        <w:rPr>
          <w:spacing w:val="-1"/>
          <w:sz w:val="24"/>
        </w:rPr>
        <w:t> </w:t>
      </w:r>
      <w:r>
        <w:rPr>
          <w:sz w:val="24"/>
        </w:rPr>
        <w:t>promoted,</w:t>
      </w:r>
      <w:r>
        <w:rPr>
          <w:spacing w:val="-5"/>
          <w:sz w:val="24"/>
        </w:rPr>
        <w:t> </w:t>
      </w:r>
      <w:r>
        <w:rPr>
          <w:sz w:val="24"/>
        </w:rPr>
        <w:t>the Executive Associate Dean of Faculty and Research shall meet with the candidate to review the reasons for the non-promotion decision.</w:t>
      </w:r>
    </w:p>
    <w:p>
      <w:pPr>
        <w:spacing w:after="0" w:line="240" w:lineRule="auto"/>
        <w:jc w:val="left"/>
        <w:rPr>
          <w:sz w:val="24"/>
        </w:rPr>
        <w:sectPr>
          <w:pgSz w:w="12240" w:h="15840"/>
          <w:pgMar w:header="0" w:footer="1712" w:top="1360" w:bottom="1980" w:left="1320" w:right="1180"/>
        </w:sectPr>
      </w:pPr>
    </w:p>
    <w:p>
      <w:pPr>
        <w:pStyle w:val="Heading1"/>
        <w:numPr>
          <w:ilvl w:val="0"/>
          <w:numId w:val="1"/>
        </w:numPr>
        <w:tabs>
          <w:tab w:pos="552" w:val="left" w:leader="none"/>
        </w:tabs>
        <w:spacing w:line="240" w:lineRule="auto" w:before="39" w:after="0"/>
        <w:ind w:left="120" w:right="501" w:firstLine="0"/>
        <w:jc w:val="left"/>
      </w:pPr>
      <w:r>
        <w:rPr/>
        <w:t>TEACHING</w:t>
      </w:r>
      <w:r>
        <w:rPr>
          <w:spacing w:val="-5"/>
        </w:rPr>
        <w:t> </w:t>
      </w:r>
      <w:r>
        <w:rPr/>
        <w:t>AND</w:t>
      </w:r>
      <w:r>
        <w:rPr>
          <w:spacing w:val="-6"/>
        </w:rPr>
        <w:t> </w:t>
      </w:r>
      <w:r>
        <w:rPr/>
        <w:t>SERVICE</w:t>
      </w:r>
      <w:r>
        <w:rPr>
          <w:spacing w:val="-4"/>
        </w:rPr>
        <w:t> </w:t>
      </w:r>
      <w:r>
        <w:rPr/>
        <w:t>RATINGS</w:t>
      </w:r>
      <w:r>
        <w:rPr>
          <w:spacing w:val="-7"/>
        </w:rPr>
        <w:t> </w:t>
      </w:r>
      <w:r>
        <w:rPr/>
        <w:t>APPLICABLE</w:t>
      </w:r>
      <w:r>
        <w:rPr>
          <w:spacing w:val="-4"/>
        </w:rPr>
        <w:t> </w:t>
      </w:r>
      <w:r>
        <w:rPr/>
        <w:t>TO</w:t>
      </w:r>
      <w:r>
        <w:rPr>
          <w:spacing w:val="-5"/>
        </w:rPr>
        <w:t> </w:t>
      </w:r>
      <w:r>
        <w:rPr/>
        <w:t>PROMOTION</w:t>
      </w:r>
      <w:r>
        <w:rPr>
          <w:spacing w:val="-4"/>
        </w:rPr>
        <w:t> </w:t>
      </w:r>
      <w:r>
        <w:rPr/>
        <w:t>DECISIONS</w:t>
      </w:r>
      <w:r>
        <w:rPr>
          <w:spacing w:val="-5"/>
        </w:rPr>
        <w:t> </w:t>
      </w:r>
      <w:r>
        <w:rPr/>
        <w:t>REGARDING CLINICAL FACULTY</w:t>
      </w:r>
    </w:p>
    <w:p>
      <w:pPr>
        <w:pStyle w:val="BodyText"/>
        <w:spacing w:before="293"/>
        <w:ind w:left="119"/>
      </w:pPr>
      <w:r>
        <w:rPr/>
        <w:t>For</w:t>
      </w:r>
      <w:r>
        <w:rPr>
          <w:spacing w:val="-2"/>
        </w:rPr>
        <w:t> </w:t>
      </w:r>
      <w:r>
        <w:rPr/>
        <w:t>promotion,</w:t>
      </w:r>
      <w:r>
        <w:rPr>
          <w:spacing w:val="-5"/>
        </w:rPr>
        <w:t> </w:t>
      </w:r>
      <w:r>
        <w:rPr/>
        <w:t>candidates</w:t>
      </w:r>
      <w:r>
        <w:rPr>
          <w:spacing w:val="-2"/>
        </w:rPr>
        <w:t> </w:t>
      </w:r>
      <w:r>
        <w:rPr/>
        <w:t>must</w:t>
      </w:r>
      <w:r>
        <w:rPr>
          <w:spacing w:val="-4"/>
        </w:rPr>
        <w:t> </w:t>
      </w:r>
      <w:r>
        <w:rPr/>
        <w:t>be</w:t>
      </w:r>
      <w:r>
        <w:rPr>
          <w:spacing w:val="-2"/>
        </w:rPr>
        <w:t> </w:t>
      </w:r>
      <w:r>
        <w:rPr/>
        <w:t>assessed </w:t>
      </w:r>
      <w:r>
        <w:rPr>
          <w:spacing w:val="-5"/>
        </w:rPr>
        <w:t>as</w:t>
      </w:r>
    </w:p>
    <w:p>
      <w:pPr>
        <w:pStyle w:val="ListParagraph"/>
        <w:numPr>
          <w:ilvl w:val="0"/>
          <w:numId w:val="8"/>
        </w:numPr>
        <w:tabs>
          <w:tab w:pos="838" w:val="left" w:leader="none"/>
        </w:tabs>
        <w:spacing w:line="240" w:lineRule="auto" w:before="0" w:after="0"/>
        <w:ind w:left="838" w:right="0" w:hanging="359"/>
        <w:jc w:val="left"/>
        <w:rPr>
          <w:sz w:val="24"/>
        </w:rPr>
      </w:pPr>
      <w:r>
        <w:rPr>
          <w:sz w:val="24"/>
        </w:rPr>
        <w:t>excellent</w:t>
      </w:r>
      <w:r>
        <w:rPr>
          <w:spacing w:val="-4"/>
          <w:sz w:val="24"/>
        </w:rPr>
        <w:t> </w:t>
      </w:r>
      <w:r>
        <w:rPr>
          <w:sz w:val="24"/>
        </w:rPr>
        <w:t>in</w:t>
      </w:r>
      <w:r>
        <w:rPr>
          <w:spacing w:val="-3"/>
          <w:sz w:val="24"/>
        </w:rPr>
        <w:t> </w:t>
      </w:r>
      <w:r>
        <w:rPr>
          <w:sz w:val="24"/>
        </w:rPr>
        <w:t>teaching</w:t>
      </w:r>
      <w:r>
        <w:rPr>
          <w:spacing w:val="-2"/>
          <w:sz w:val="24"/>
        </w:rPr>
        <w:t> </w:t>
      </w:r>
      <w:r>
        <w:rPr>
          <w:sz w:val="24"/>
        </w:rPr>
        <w:t>and</w:t>
      </w:r>
      <w:r>
        <w:rPr>
          <w:spacing w:val="-3"/>
          <w:sz w:val="24"/>
        </w:rPr>
        <w:t> </w:t>
      </w:r>
      <w:r>
        <w:rPr>
          <w:sz w:val="24"/>
        </w:rPr>
        <w:t>at least</w:t>
      </w:r>
      <w:r>
        <w:rPr>
          <w:spacing w:val="-3"/>
          <w:sz w:val="24"/>
        </w:rPr>
        <w:t> </w:t>
      </w:r>
      <w:r>
        <w:rPr>
          <w:sz w:val="24"/>
        </w:rPr>
        <w:t>satisfactory</w:t>
      </w:r>
      <w:r>
        <w:rPr>
          <w:spacing w:val="-2"/>
          <w:sz w:val="24"/>
        </w:rPr>
        <w:t> </w:t>
      </w:r>
      <w:r>
        <w:rPr>
          <w:sz w:val="24"/>
        </w:rPr>
        <w:t>in service,</w:t>
      </w:r>
      <w:r>
        <w:rPr>
          <w:spacing w:val="-2"/>
          <w:sz w:val="24"/>
        </w:rPr>
        <w:t> </w:t>
      </w:r>
      <w:r>
        <w:rPr>
          <w:spacing w:val="-5"/>
          <w:sz w:val="24"/>
        </w:rPr>
        <w:t>or</w:t>
      </w:r>
    </w:p>
    <w:p>
      <w:pPr>
        <w:pStyle w:val="ListParagraph"/>
        <w:numPr>
          <w:ilvl w:val="0"/>
          <w:numId w:val="8"/>
        </w:numPr>
        <w:tabs>
          <w:tab w:pos="839" w:val="left" w:leader="none"/>
        </w:tabs>
        <w:spacing w:line="240" w:lineRule="auto" w:before="0" w:after="0"/>
        <w:ind w:left="839" w:right="0" w:hanging="359"/>
        <w:jc w:val="left"/>
        <w:rPr>
          <w:sz w:val="24"/>
        </w:rPr>
      </w:pPr>
      <w:r>
        <w:rPr>
          <w:sz w:val="24"/>
        </w:rPr>
        <w:t>excellent</w:t>
      </w:r>
      <w:r>
        <w:rPr>
          <w:spacing w:val="-4"/>
          <w:sz w:val="24"/>
        </w:rPr>
        <w:t> </w:t>
      </w:r>
      <w:r>
        <w:rPr>
          <w:sz w:val="24"/>
        </w:rPr>
        <w:t>in</w:t>
      </w:r>
      <w:r>
        <w:rPr>
          <w:spacing w:val="-1"/>
          <w:sz w:val="24"/>
        </w:rPr>
        <w:t> </w:t>
      </w:r>
      <w:r>
        <w:rPr>
          <w:sz w:val="24"/>
        </w:rPr>
        <w:t>service</w:t>
      </w:r>
      <w:r>
        <w:rPr>
          <w:spacing w:val="-1"/>
          <w:sz w:val="24"/>
        </w:rPr>
        <w:t> </w:t>
      </w:r>
      <w:r>
        <w:rPr>
          <w:sz w:val="24"/>
        </w:rPr>
        <w:t>and</w:t>
      </w:r>
      <w:r>
        <w:rPr>
          <w:spacing w:val="-1"/>
          <w:sz w:val="24"/>
        </w:rPr>
        <w:t> </w:t>
      </w:r>
      <w:r>
        <w:rPr>
          <w:sz w:val="24"/>
        </w:rPr>
        <w:t>at</w:t>
      </w:r>
      <w:r>
        <w:rPr>
          <w:spacing w:val="-1"/>
          <w:sz w:val="24"/>
        </w:rPr>
        <w:t> </w:t>
      </w:r>
      <w:r>
        <w:rPr>
          <w:sz w:val="24"/>
        </w:rPr>
        <w:t>least</w:t>
      </w:r>
      <w:r>
        <w:rPr>
          <w:spacing w:val="-1"/>
          <w:sz w:val="24"/>
        </w:rPr>
        <w:t> </w:t>
      </w:r>
      <w:r>
        <w:rPr>
          <w:sz w:val="24"/>
        </w:rPr>
        <w:t>satisfactory</w:t>
      </w:r>
      <w:r>
        <w:rPr>
          <w:spacing w:val="-2"/>
          <w:sz w:val="24"/>
        </w:rPr>
        <w:t> </w:t>
      </w:r>
      <w:r>
        <w:rPr>
          <w:sz w:val="24"/>
        </w:rPr>
        <w:t>in</w:t>
      </w:r>
      <w:r>
        <w:rPr>
          <w:spacing w:val="-4"/>
          <w:sz w:val="24"/>
        </w:rPr>
        <w:t> </w:t>
      </w:r>
      <w:r>
        <w:rPr>
          <w:sz w:val="24"/>
        </w:rPr>
        <w:t>teaching,</w:t>
      </w:r>
      <w:r>
        <w:rPr>
          <w:spacing w:val="-2"/>
          <w:sz w:val="24"/>
        </w:rPr>
        <w:t> </w:t>
      </w:r>
      <w:r>
        <w:rPr>
          <w:spacing w:val="-5"/>
          <w:sz w:val="24"/>
        </w:rPr>
        <w:t>or</w:t>
      </w:r>
    </w:p>
    <w:p>
      <w:pPr>
        <w:pStyle w:val="ListParagraph"/>
        <w:numPr>
          <w:ilvl w:val="0"/>
          <w:numId w:val="8"/>
        </w:numPr>
        <w:tabs>
          <w:tab w:pos="839" w:val="left" w:leader="none"/>
        </w:tabs>
        <w:spacing w:line="240" w:lineRule="auto" w:before="0" w:after="0"/>
        <w:ind w:left="839" w:right="271" w:hanging="360"/>
        <w:jc w:val="left"/>
        <w:rPr>
          <w:sz w:val="24"/>
        </w:rPr>
      </w:pPr>
      <w:r>
        <w:rPr>
          <w:sz w:val="24"/>
        </w:rPr>
        <w:t>demonstrative</w:t>
      </w:r>
      <w:r>
        <w:rPr>
          <w:spacing w:val="-3"/>
          <w:sz w:val="24"/>
        </w:rPr>
        <w:t> </w:t>
      </w:r>
      <w:r>
        <w:rPr>
          <w:sz w:val="24"/>
        </w:rPr>
        <w:t>of</w:t>
      </w:r>
      <w:r>
        <w:rPr>
          <w:spacing w:val="-5"/>
          <w:sz w:val="24"/>
        </w:rPr>
        <w:t> </w:t>
      </w:r>
      <w:r>
        <w:rPr>
          <w:sz w:val="24"/>
        </w:rPr>
        <w:t>balanced</w:t>
      </w:r>
      <w:r>
        <w:rPr>
          <w:spacing w:val="-2"/>
          <w:sz w:val="24"/>
        </w:rPr>
        <w:t> </w:t>
      </w:r>
      <w:r>
        <w:rPr>
          <w:sz w:val="24"/>
        </w:rPr>
        <w:t>strengths</w:t>
      </w:r>
      <w:r>
        <w:rPr>
          <w:spacing w:val="-6"/>
          <w:sz w:val="24"/>
        </w:rPr>
        <w:t> </w:t>
      </w:r>
      <w:r>
        <w:rPr>
          <w:sz w:val="24"/>
        </w:rPr>
        <w:t>that</w:t>
      </w:r>
      <w:r>
        <w:rPr>
          <w:spacing w:val="-2"/>
          <w:sz w:val="24"/>
        </w:rPr>
        <w:t> </w:t>
      </w:r>
      <w:r>
        <w:rPr>
          <w:sz w:val="24"/>
        </w:rPr>
        <w:t>indicate</w:t>
      </w:r>
      <w:r>
        <w:rPr>
          <w:spacing w:val="-3"/>
          <w:sz w:val="24"/>
        </w:rPr>
        <w:t> </w:t>
      </w:r>
      <w:r>
        <w:rPr>
          <w:sz w:val="24"/>
        </w:rPr>
        <w:t>overall</w:t>
      </w:r>
      <w:r>
        <w:rPr>
          <w:spacing w:val="-6"/>
          <w:sz w:val="24"/>
        </w:rPr>
        <w:t> </w:t>
      </w:r>
      <w:r>
        <w:rPr>
          <w:sz w:val="24"/>
        </w:rPr>
        <w:t>performance</w:t>
      </w:r>
      <w:r>
        <w:rPr>
          <w:spacing w:val="-5"/>
          <w:sz w:val="24"/>
        </w:rPr>
        <w:t> </w:t>
      </w:r>
      <w:r>
        <w:rPr>
          <w:sz w:val="24"/>
        </w:rPr>
        <w:t>whose</w:t>
      </w:r>
      <w:r>
        <w:rPr>
          <w:spacing w:val="-5"/>
          <w:sz w:val="24"/>
        </w:rPr>
        <w:t> </w:t>
      </w:r>
      <w:r>
        <w:rPr>
          <w:sz w:val="24"/>
        </w:rPr>
        <w:t>benefit</w:t>
      </w:r>
      <w:r>
        <w:rPr>
          <w:spacing w:val="-5"/>
          <w:sz w:val="24"/>
        </w:rPr>
        <w:t> </w:t>
      </w:r>
      <w:r>
        <w:rPr>
          <w:sz w:val="24"/>
        </w:rPr>
        <w:t>to the University is comparable in value to the benefit contemplated under options a or b.</w:t>
      </w:r>
    </w:p>
    <w:p>
      <w:pPr>
        <w:pStyle w:val="BodyText"/>
        <w:spacing w:before="1"/>
      </w:pPr>
    </w:p>
    <w:p>
      <w:pPr>
        <w:pStyle w:val="BodyText"/>
        <w:ind w:left="119" w:right="191" w:firstLine="720"/>
      </w:pPr>
      <w:r>
        <w:rPr/>
        <w:t>To be considered excellent in teaching or service, the faculty member must have academic</w:t>
      </w:r>
      <w:r>
        <w:rPr>
          <w:spacing w:val="-4"/>
        </w:rPr>
        <w:t> </w:t>
      </w:r>
      <w:r>
        <w:rPr/>
        <w:t>and/or</w:t>
      </w:r>
      <w:r>
        <w:rPr>
          <w:spacing w:val="-3"/>
        </w:rPr>
        <w:t> </w:t>
      </w:r>
      <w:r>
        <w:rPr/>
        <w:t>professional</w:t>
      </w:r>
      <w:r>
        <w:rPr>
          <w:spacing w:val="-3"/>
        </w:rPr>
        <w:t> </w:t>
      </w:r>
      <w:r>
        <w:rPr>
          <w:i/>
        </w:rPr>
        <w:t>peer-reviewed</w:t>
      </w:r>
      <w:r>
        <w:rPr>
          <w:i/>
          <w:spacing w:val="-5"/>
        </w:rPr>
        <w:t> </w:t>
      </w:r>
      <w:r>
        <w:rPr>
          <w:i/>
        </w:rPr>
        <w:t>scholarship</w:t>
      </w:r>
      <w:r>
        <w:rPr>
          <w:i/>
          <w:spacing w:val="-5"/>
        </w:rPr>
        <w:t> </w:t>
      </w:r>
      <w:r>
        <w:rPr/>
        <w:t>to</w:t>
      </w:r>
      <w:r>
        <w:rPr>
          <w:spacing w:val="-3"/>
        </w:rPr>
        <w:t> </w:t>
      </w:r>
      <w:r>
        <w:rPr/>
        <w:t>support</w:t>
      </w:r>
      <w:r>
        <w:rPr>
          <w:spacing w:val="-5"/>
        </w:rPr>
        <w:t> </w:t>
      </w:r>
      <w:r>
        <w:rPr/>
        <w:t>that</w:t>
      </w:r>
      <w:r>
        <w:rPr>
          <w:spacing w:val="-5"/>
        </w:rPr>
        <w:t> </w:t>
      </w:r>
      <w:r>
        <w:rPr/>
        <w:t>area,</w:t>
      </w:r>
      <w:r>
        <w:rPr>
          <w:spacing w:val="-3"/>
        </w:rPr>
        <w:t> </w:t>
      </w:r>
      <w:r>
        <w:rPr/>
        <w:t>either</w:t>
      </w:r>
      <w:r>
        <w:rPr>
          <w:spacing w:val="-6"/>
        </w:rPr>
        <w:t> </w:t>
      </w:r>
      <w:r>
        <w:rPr/>
        <w:t>scholarship of teaching or scholarship of service. To support a balanced case, the faculty member needs academic and/or professional peer-reviewed scholarship.</w:t>
      </w:r>
    </w:p>
    <w:p>
      <w:pPr>
        <w:pStyle w:val="BodyText"/>
        <w:spacing w:before="292"/>
        <w:ind w:left="119" w:right="118" w:firstLine="720"/>
      </w:pPr>
      <w:r>
        <w:rPr/>
        <w:t>Scholarship is</w:t>
      </w:r>
      <w:r>
        <w:rPr>
          <w:spacing w:val="-3"/>
        </w:rPr>
        <w:t> </w:t>
      </w:r>
      <w:r>
        <w:rPr/>
        <w:t>not defined in</w:t>
      </w:r>
      <w:r>
        <w:rPr>
          <w:spacing w:val="-2"/>
        </w:rPr>
        <w:t> </w:t>
      </w:r>
      <w:r>
        <w:rPr/>
        <w:t>IU</w:t>
      </w:r>
      <w:r>
        <w:rPr>
          <w:spacing w:val="-1"/>
        </w:rPr>
        <w:t> </w:t>
      </w:r>
      <w:r>
        <w:rPr/>
        <w:t>Policies</w:t>
      </w:r>
      <w:r>
        <w:rPr>
          <w:spacing w:val="-3"/>
        </w:rPr>
        <w:t> </w:t>
      </w:r>
      <w:r>
        <w:rPr/>
        <w:t>or</w:t>
      </w:r>
      <w:r>
        <w:rPr>
          <w:spacing w:val="-3"/>
        </w:rPr>
        <w:t> </w:t>
      </w:r>
      <w:r>
        <w:rPr/>
        <w:t>in</w:t>
      </w:r>
      <w:r>
        <w:rPr>
          <w:spacing w:val="-3"/>
        </w:rPr>
        <w:t> </w:t>
      </w:r>
      <w:r>
        <w:rPr/>
        <w:t>the IUPUI</w:t>
      </w:r>
      <w:r>
        <w:rPr>
          <w:spacing w:val="-1"/>
        </w:rPr>
        <w:t> </w:t>
      </w:r>
      <w:r>
        <w:rPr/>
        <w:t>P&amp;T document</w:t>
      </w:r>
      <w:r>
        <w:rPr>
          <w:spacing w:val="-2"/>
        </w:rPr>
        <w:t> </w:t>
      </w:r>
      <w:r>
        <w:rPr/>
        <w:t>(for</w:t>
      </w:r>
      <w:r>
        <w:rPr>
          <w:spacing w:val="-3"/>
        </w:rPr>
        <w:t> </w:t>
      </w:r>
      <w:r>
        <w:rPr/>
        <w:t>reference,</w:t>
      </w:r>
      <w:r>
        <w:rPr>
          <w:spacing w:val="-3"/>
        </w:rPr>
        <w:t> </w:t>
      </w:r>
      <w:r>
        <w:rPr/>
        <w:t>see the IUPUI 2020-21 P&amp;T Guidelines). However, in the P&amp;T document, the guidelines provide descriptions of areas of excellence and expectations for various faculty</w:t>
      </w:r>
      <w:r>
        <w:rPr>
          <w:spacing w:val="-1"/>
        </w:rPr>
        <w:t> </w:t>
      </w:r>
      <w:r>
        <w:rPr/>
        <w:t>categories. For example, for</w:t>
      </w:r>
      <w:r>
        <w:rPr>
          <w:spacing w:val="-5"/>
        </w:rPr>
        <w:t> </w:t>
      </w:r>
      <w:r>
        <w:rPr/>
        <w:t>promotion</w:t>
      </w:r>
      <w:r>
        <w:rPr>
          <w:spacing w:val="-4"/>
        </w:rPr>
        <w:t> </w:t>
      </w:r>
      <w:r>
        <w:rPr/>
        <w:t>to</w:t>
      </w:r>
      <w:r>
        <w:rPr>
          <w:spacing w:val="-2"/>
        </w:rPr>
        <w:t> </w:t>
      </w:r>
      <w:r>
        <w:rPr/>
        <w:t>clinical</w:t>
      </w:r>
      <w:r>
        <w:rPr>
          <w:spacing w:val="-5"/>
        </w:rPr>
        <w:t> </w:t>
      </w:r>
      <w:r>
        <w:rPr/>
        <w:t>associate</w:t>
      </w:r>
      <w:r>
        <w:rPr>
          <w:spacing w:val="-4"/>
        </w:rPr>
        <w:t> </w:t>
      </w:r>
      <w:r>
        <w:rPr/>
        <w:t>professor</w:t>
      </w:r>
      <w:r>
        <w:rPr>
          <w:spacing w:val="-2"/>
        </w:rPr>
        <w:t> </w:t>
      </w:r>
      <w:r>
        <w:rPr/>
        <w:t>and</w:t>
      </w:r>
      <w:r>
        <w:rPr>
          <w:spacing w:val="-6"/>
        </w:rPr>
        <w:t> </w:t>
      </w:r>
      <w:r>
        <w:rPr/>
        <w:t>clinical</w:t>
      </w:r>
      <w:r>
        <w:rPr>
          <w:spacing w:val="-2"/>
        </w:rPr>
        <w:t> </w:t>
      </w:r>
      <w:r>
        <w:rPr/>
        <w:t>professor,</w:t>
      </w:r>
      <w:r>
        <w:rPr>
          <w:spacing w:val="-5"/>
        </w:rPr>
        <w:t> </w:t>
      </w:r>
      <w:r>
        <w:rPr/>
        <w:t>the</w:t>
      </w:r>
      <w:r>
        <w:rPr>
          <w:spacing w:val="-2"/>
        </w:rPr>
        <w:t> </w:t>
      </w:r>
      <w:r>
        <w:rPr/>
        <w:t>standard</w:t>
      </w:r>
      <w:r>
        <w:rPr>
          <w:spacing w:val="-1"/>
        </w:rPr>
        <w:t> </w:t>
      </w:r>
      <w:r>
        <w:rPr/>
        <w:t>for</w:t>
      </w:r>
      <w:r>
        <w:rPr>
          <w:spacing w:val="-2"/>
        </w:rPr>
        <w:t> </w:t>
      </w:r>
      <w:r>
        <w:rPr/>
        <w:t>excellence</w:t>
      </w:r>
      <w:r>
        <w:rPr>
          <w:spacing w:val="-2"/>
        </w:rPr>
        <w:t> </w:t>
      </w:r>
      <w:r>
        <w:rPr/>
        <w:t>is stated as:</w:t>
      </w:r>
    </w:p>
    <w:p>
      <w:pPr>
        <w:pStyle w:val="ListParagraph"/>
        <w:numPr>
          <w:ilvl w:val="0"/>
          <w:numId w:val="9"/>
        </w:numPr>
        <w:tabs>
          <w:tab w:pos="840" w:val="left" w:leader="none"/>
        </w:tabs>
        <w:spacing w:line="240" w:lineRule="auto" w:before="0" w:after="0"/>
        <w:ind w:left="840" w:right="230" w:hanging="360"/>
        <w:jc w:val="left"/>
        <w:rPr>
          <w:rFonts w:ascii="Symbol" w:hAnsi="Symbol"/>
          <w:sz w:val="22"/>
        </w:rPr>
      </w:pPr>
      <w:r>
        <w:rPr>
          <w:b/>
          <w:sz w:val="24"/>
        </w:rPr>
        <w:t>To</w:t>
      </w:r>
      <w:r>
        <w:rPr>
          <w:b/>
          <w:spacing w:val="-2"/>
          <w:sz w:val="24"/>
        </w:rPr>
        <w:t> </w:t>
      </w:r>
      <w:r>
        <w:rPr>
          <w:b/>
          <w:sz w:val="24"/>
        </w:rPr>
        <w:t>associate:</w:t>
      </w:r>
      <w:r>
        <w:rPr>
          <w:b/>
          <w:spacing w:val="-2"/>
          <w:sz w:val="24"/>
        </w:rPr>
        <w:t> </w:t>
      </w:r>
      <w:r>
        <w:rPr>
          <w:sz w:val="24"/>
        </w:rPr>
        <w:t>Candidate</w:t>
      </w:r>
      <w:r>
        <w:rPr>
          <w:spacing w:val="-6"/>
          <w:sz w:val="24"/>
        </w:rPr>
        <w:t> </w:t>
      </w:r>
      <w:r>
        <w:rPr>
          <w:sz w:val="24"/>
        </w:rPr>
        <w:t>will</w:t>
      </w:r>
      <w:r>
        <w:rPr>
          <w:spacing w:val="-4"/>
          <w:sz w:val="24"/>
        </w:rPr>
        <w:t> </w:t>
      </w:r>
      <w:r>
        <w:rPr>
          <w:sz w:val="24"/>
        </w:rPr>
        <w:t>have</w:t>
      </w:r>
      <w:r>
        <w:rPr>
          <w:spacing w:val="-2"/>
          <w:sz w:val="24"/>
        </w:rPr>
        <w:t> </w:t>
      </w:r>
      <w:r>
        <w:rPr>
          <w:sz w:val="24"/>
        </w:rPr>
        <w:t>led</w:t>
      </w:r>
      <w:r>
        <w:rPr>
          <w:spacing w:val="-1"/>
          <w:sz w:val="24"/>
        </w:rPr>
        <w:t> </w:t>
      </w:r>
      <w:r>
        <w:rPr>
          <w:sz w:val="24"/>
        </w:rPr>
        <w:t>or</w:t>
      </w:r>
      <w:r>
        <w:rPr>
          <w:spacing w:val="-2"/>
          <w:sz w:val="24"/>
        </w:rPr>
        <w:t> </w:t>
      </w:r>
      <w:r>
        <w:rPr>
          <w:sz w:val="24"/>
        </w:rPr>
        <w:t>been</w:t>
      </w:r>
      <w:r>
        <w:rPr>
          <w:spacing w:val="-4"/>
          <w:sz w:val="24"/>
        </w:rPr>
        <w:t> </w:t>
      </w:r>
      <w:r>
        <w:rPr>
          <w:sz w:val="24"/>
        </w:rPr>
        <w:t>an</w:t>
      </w:r>
      <w:r>
        <w:rPr>
          <w:spacing w:val="-5"/>
          <w:sz w:val="24"/>
        </w:rPr>
        <w:t> </w:t>
      </w:r>
      <w:r>
        <w:rPr>
          <w:sz w:val="24"/>
        </w:rPr>
        <w:t>essential</w:t>
      </w:r>
      <w:r>
        <w:rPr>
          <w:spacing w:val="-4"/>
          <w:sz w:val="24"/>
        </w:rPr>
        <w:t> </w:t>
      </w:r>
      <w:r>
        <w:rPr>
          <w:sz w:val="24"/>
        </w:rPr>
        <w:t>part</w:t>
      </w:r>
      <w:r>
        <w:rPr>
          <w:spacing w:val="-4"/>
          <w:sz w:val="24"/>
        </w:rPr>
        <w:t> </w:t>
      </w:r>
      <w:r>
        <w:rPr>
          <w:sz w:val="24"/>
        </w:rPr>
        <w:t>of</w:t>
      </w:r>
      <w:r>
        <w:rPr>
          <w:spacing w:val="-4"/>
          <w:sz w:val="24"/>
        </w:rPr>
        <w:t> </w:t>
      </w:r>
      <w:r>
        <w:rPr>
          <w:sz w:val="24"/>
        </w:rPr>
        <w:t>endeavors</w:t>
      </w:r>
      <w:r>
        <w:rPr>
          <w:spacing w:val="-3"/>
          <w:sz w:val="24"/>
        </w:rPr>
        <w:t> </w:t>
      </w:r>
      <w:r>
        <w:rPr>
          <w:sz w:val="24"/>
        </w:rPr>
        <w:t>with</w:t>
      </w:r>
      <w:r>
        <w:rPr>
          <w:spacing w:val="-4"/>
          <w:sz w:val="24"/>
        </w:rPr>
        <w:t> </w:t>
      </w:r>
      <w:r>
        <w:rPr>
          <w:sz w:val="24"/>
        </w:rPr>
        <w:t>distinct and local outcomes. National or international dissemination is also expected as a reflection of the quality of work.</w:t>
      </w:r>
    </w:p>
    <w:p>
      <w:pPr>
        <w:pStyle w:val="ListParagraph"/>
        <w:numPr>
          <w:ilvl w:val="0"/>
          <w:numId w:val="9"/>
        </w:numPr>
        <w:tabs>
          <w:tab w:pos="840" w:val="left" w:leader="none"/>
        </w:tabs>
        <w:spacing w:line="240" w:lineRule="auto" w:before="0" w:after="0"/>
        <w:ind w:left="840" w:right="214" w:hanging="360"/>
        <w:jc w:val="left"/>
        <w:rPr>
          <w:rFonts w:ascii="Symbol" w:hAnsi="Symbol"/>
          <w:sz w:val="24"/>
        </w:rPr>
      </w:pPr>
      <w:r>
        <w:rPr>
          <w:b/>
          <w:sz w:val="24"/>
        </w:rPr>
        <w:t>To</w:t>
      </w:r>
      <w:r>
        <w:rPr>
          <w:b/>
          <w:spacing w:val="-2"/>
          <w:sz w:val="24"/>
        </w:rPr>
        <w:t> </w:t>
      </w:r>
      <w:r>
        <w:rPr>
          <w:b/>
          <w:sz w:val="24"/>
        </w:rPr>
        <w:t>full:</w:t>
      </w:r>
      <w:r>
        <w:rPr>
          <w:b/>
          <w:spacing w:val="-4"/>
          <w:sz w:val="24"/>
        </w:rPr>
        <w:t> </w:t>
      </w:r>
      <w:r>
        <w:rPr>
          <w:sz w:val="24"/>
        </w:rPr>
        <w:t>The</w:t>
      </w:r>
      <w:r>
        <w:rPr>
          <w:spacing w:val="-4"/>
          <w:sz w:val="24"/>
        </w:rPr>
        <w:t> </w:t>
      </w:r>
      <w:r>
        <w:rPr>
          <w:sz w:val="24"/>
        </w:rPr>
        <w:t>candidate</w:t>
      </w:r>
      <w:r>
        <w:rPr>
          <w:spacing w:val="-4"/>
          <w:sz w:val="24"/>
        </w:rPr>
        <w:t> </w:t>
      </w:r>
      <w:r>
        <w:rPr>
          <w:sz w:val="24"/>
        </w:rPr>
        <w:t>will</w:t>
      </w:r>
      <w:r>
        <w:rPr>
          <w:spacing w:val="-2"/>
          <w:sz w:val="24"/>
        </w:rPr>
        <w:t> </w:t>
      </w:r>
      <w:r>
        <w:rPr>
          <w:sz w:val="24"/>
        </w:rPr>
        <w:t>have</w:t>
      </w:r>
      <w:r>
        <w:rPr>
          <w:spacing w:val="-4"/>
          <w:sz w:val="24"/>
        </w:rPr>
        <w:t> </w:t>
      </w:r>
      <w:r>
        <w:rPr>
          <w:sz w:val="24"/>
        </w:rPr>
        <w:t>sustained</w:t>
      </w:r>
      <w:r>
        <w:rPr>
          <w:spacing w:val="-1"/>
          <w:sz w:val="24"/>
        </w:rPr>
        <w:t> </w:t>
      </w:r>
      <w:r>
        <w:rPr>
          <w:sz w:val="24"/>
        </w:rPr>
        <w:t>accomplishments</w:t>
      </w:r>
      <w:r>
        <w:rPr>
          <w:spacing w:val="-3"/>
          <w:sz w:val="24"/>
        </w:rPr>
        <w:t> </w:t>
      </w:r>
      <w:r>
        <w:rPr>
          <w:sz w:val="24"/>
        </w:rPr>
        <w:t>and</w:t>
      </w:r>
      <w:r>
        <w:rPr>
          <w:spacing w:val="-4"/>
          <w:sz w:val="24"/>
        </w:rPr>
        <w:t> </w:t>
      </w:r>
      <w:r>
        <w:rPr>
          <w:sz w:val="24"/>
        </w:rPr>
        <w:t>have</w:t>
      </w:r>
      <w:r>
        <w:rPr>
          <w:spacing w:val="-4"/>
          <w:sz w:val="24"/>
        </w:rPr>
        <w:t> </w:t>
      </w:r>
      <w:r>
        <w:rPr>
          <w:sz w:val="24"/>
        </w:rPr>
        <w:t>achieved</w:t>
      </w:r>
      <w:r>
        <w:rPr>
          <w:spacing w:val="-1"/>
          <w:sz w:val="24"/>
        </w:rPr>
        <w:t> </w:t>
      </w:r>
      <w:r>
        <w:rPr>
          <w:sz w:val="24"/>
        </w:rPr>
        <w:t>a</w:t>
      </w:r>
      <w:r>
        <w:rPr>
          <w:spacing w:val="-5"/>
          <w:sz w:val="24"/>
        </w:rPr>
        <w:t> </w:t>
      </w:r>
      <w:r>
        <w:rPr>
          <w:sz w:val="24"/>
        </w:rPr>
        <w:t>national or international reputation through their work).</w:t>
      </w:r>
    </w:p>
    <w:p>
      <w:pPr>
        <w:spacing w:before="0"/>
        <w:ind w:left="120" w:right="118" w:firstLine="0"/>
        <w:jc w:val="left"/>
        <w:rPr>
          <w:i/>
          <w:sz w:val="24"/>
        </w:rPr>
      </w:pPr>
      <w:r>
        <w:rPr>
          <w:i/>
          <w:sz w:val="24"/>
        </w:rPr>
        <w:t>“NOTE:</w:t>
      </w:r>
      <w:r>
        <w:rPr>
          <w:i/>
          <w:spacing w:val="-11"/>
          <w:sz w:val="24"/>
        </w:rPr>
        <w:t> </w:t>
      </w:r>
      <w:r>
        <w:rPr>
          <w:i/>
          <w:sz w:val="24"/>
        </w:rPr>
        <w:t>Particularly</w:t>
      </w:r>
      <w:r>
        <w:rPr>
          <w:i/>
          <w:spacing w:val="-11"/>
          <w:sz w:val="24"/>
        </w:rPr>
        <w:t> </w:t>
      </w:r>
      <w:r>
        <w:rPr>
          <w:i/>
          <w:sz w:val="24"/>
        </w:rPr>
        <w:t>for</w:t>
      </w:r>
      <w:r>
        <w:rPr>
          <w:i/>
          <w:spacing w:val="-12"/>
          <w:sz w:val="24"/>
        </w:rPr>
        <w:t> </w:t>
      </w:r>
      <w:r>
        <w:rPr>
          <w:i/>
          <w:sz w:val="24"/>
        </w:rPr>
        <w:t>the</w:t>
      </w:r>
      <w:r>
        <w:rPr>
          <w:i/>
          <w:spacing w:val="-9"/>
          <w:sz w:val="24"/>
        </w:rPr>
        <w:t> </w:t>
      </w:r>
      <w:r>
        <w:rPr>
          <w:i/>
          <w:sz w:val="24"/>
        </w:rPr>
        <w:t>clinical</w:t>
      </w:r>
      <w:r>
        <w:rPr>
          <w:i/>
          <w:spacing w:val="-10"/>
          <w:sz w:val="24"/>
        </w:rPr>
        <w:t> </w:t>
      </w:r>
      <w:r>
        <w:rPr>
          <w:i/>
          <w:sz w:val="24"/>
        </w:rPr>
        <w:t>ranks,</w:t>
      </w:r>
      <w:r>
        <w:rPr>
          <w:i/>
          <w:spacing w:val="-10"/>
          <w:sz w:val="24"/>
        </w:rPr>
        <w:t> </w:t>
      </w:r>
      <w:r>
        <w:rPr>
          <w:i/>
          <w:sz w:val="24"/>
        </w:rPr>
        <w:t>publication</w:t>
      </w:r>
      <w:r>
        <w:rPr>
          <w:i/>
          <w:spacing w:val="-9"/>
          <w:sz w:val="24"/>
        </w:rPr>
        <w:t> </w:t>
      </w:r>
      <w:r>
        <w:rPr>
          <w:i/>
          <w:sz w:val="24"/>
        </w:rPr>
        <w:t>may</w:t>
      </w:r>
      <w:r>
        <w:rPr>
          <w:i/>
          <w:spacing w:val="-9"/>
          <w:sz w:val="24"/>
        </w:rPr>
        <w:t> </w:t>
      </w:r>
      <w:r>
        <w:rPr>
          <w:i/>
          <w:sz w:val="24"/>
        </w:rPr>
        <w:t>not</w:t>
      </w:r>
      <w:r>
        <w:rPr>
          <w:i/>
          <w:spacing w:val="-9"/>
          <w:sz w:val="24"/>
        </w:rPr>
        <w:t> </w:t>
      </w:r>
      <w:r>
        <w:rPr>
          <w:i/>
          <w:sz w:val="24"/>
        </w:rPr>
        <w:t>be</w:t>
      </w:r>
      <w:r>
        <w:rPr>
          <w:i/>
          <w:spacing w:val="-11"/>
          <w:sz w:val="24"/>
        </w:rPr>
        <w:t> </w:t>
      </w:r>
      <w:r>
        <w:rPr>
          <w:i/>
          <w:sz w:val="24"/>
        </w:rPr>
        <w:t>the</w:t>
      </w:r>
      <w:r>
        <w:rPr>
          <w:i/>
          <w:spacing w:val="-10"/>
          <w:sz w:val="24"/>
        </w:rPr>
        <w:t> </w:t>
      </w:r>
      <w:r>
        <w:rPr>
          <w:i/>
          <w:sz w:val="24"/>
        </w:rPr>
        <w:t>most</w:t>
      </w:r>
      <w:r>
        <w:rPr>
          <w:i/>
          <w:spacing w:val="-11"/>
          <w:sz w:val="24"/>
        </w:rPr>
        <w:t> </w:t>
      </w:r>
      <w:r>
        <w:rPr>
          <w:i/>
          <w:sz w:val="24"/>
        </w:rPr>
        <w:t>effective</w:t>
      </w:r>
      <w:r>
        <w:rPr>
          <w:i/>
          <w:spacing w:val="-9"/>
          <w:sz w:val="24"/>
        </w:rPr>
        <w:t> </w:t>
      </w:r>
      <w:r>
        <w:rPr>
          <w:i/>
          <w:sz w:val="24"/>
        </w:rPr>
        <w:t>or</w:t>
      </w:r>
      <w:r>
        <w:rPr>
          <w:i/>
          <w:spacing w:val="-12"/>
          <w:sz w:val="24"/>
        </w:rPr>
        <w:t> </w:t>
      </w:r>
      <w:r>
        <w:rPr>
          <w:i/>
          <w:sz w:val="24"/>
        </w:rPr>
        <w:t>feasible</w:t>
      </w:r>
      <w:r>
        <w:rPr>
          <w:i/>
          <w:sz w:val="24"/>
        </w:rPr>
        <w:t> means of disseminating the results of effective teaching practices or pedagogical research.</w:t>
      </w:r>
    </w:p>
    <w:p>
      <w:pPr>
        <w:spacing w:before="0"/>
        <w:ind w:left="120" w:right="330" w:firstLine="0"/>
        <w:jc w:val="left"/>
        <w:rPr>
          <w:sz w:val="24"/>
        </w:rPr>
      </w:pPr>
      <w:r>
        <w:rPr>
          <w:i/>
          <w:sz w:val="24"/>
        </w:rPr>
        <w:t>When</w:t>
      </w:r>
      <w:r>
        <w:rPr>
          <w:i/>
          <w:spacing w:val="-11"/>
          <w:sz w:val="24"/>
        </w:rPr>
        <w:t> </w:t>
      </w:r>
      <w:r>
        <w:rPr>
          <w:i/>
          <w:sz w:val="24"/>
        </w:rPr>
        <w:t>other</w:t>
      </w:r>
      <w:r>
        <w:rPr>
          <w:i/>
          <w:spacing w:val="-11"/>
          <w:sz w:val="24"/>
        </w:rPr>
        <w:t> </w:t>
      </w:r>
      <w:r>
        <w:rPr>
          <w:i/>
          <w:sz w:val="24"/>
        </w:rPr>
        <w:t>forms</w:t>
      </w:r>
      <w:r>
        <w:rPr>
          <w:i/>
          <w:spacing w:val="-10"/>
          <w:sz w:val="24"/>
        </w:rPr>
        <w:t> </w:t>
      </w:r>
      <w:r>
        <w:rPr>
          <w:i/>
          <w:sz w:val="24"/>
        </w:rPr>
        <w:t>of</w:t>
      </w:r>
      <w:r>
        <w:rPr>
          <w:i/>
          <w:spacing w:val="-9"/>
          <w:sz w:val="24"/>
        </w:rPr>
        <w:t> </w:t>
      </w:r>
      <w:r>
        <w:rPr>
          <w:i/>
          <w:sz w:val="24"/>
        </w:rPr>
        <w:t>disseminating</w:t>
      </w:r>
      <w:r>
        <w:rPr>
          <w:i/>
          <w:spacing w:val="-11"/>
          <w:sz w:val="24"/>
        </w:rPr>
        <w:t> </w:t>
      </w:r>
      <w:r>
        <w:rPr>
          <w:i/>
          <w:sz w:val="24"/>
        </w:rPr>
        <w:t>results</w:t>
      </w:r>
      <w:r>
        <w:rPr>
          <w:i/>
          <w:spacing w:val="-10"/>
          <w:sz w:val="24"/>
        </w:rPr>
        <w:t> </w:t>
      </w:r>
      <w:r>
        <w:rPr>
          <w:i/>
          <w:sz w:val="24"/>
        </w:rPr>
        <w:t>are</w:t>
      </w:r>
      <w:r>
        <w:rPr>
          <w:i/>
          <w:spacing w:val="-12"/>
          <w:sz w:val="24"/>
        </w:rPr>
        <w:t> </w:t>
      </w:r>
      <w:r>
        <w:rPr>
          <w:i/>
          <w:sz w:val="24"/>
        </w:rPr>
        <w:t>more</w:t>
      </w:r>
      <w:r>
        <w:rPr>
          <w:i/>
          <w:spacing w:val="-9"/>
          <w:sz w:val="24"/>
        </w:rPr>
        <w:t> </w:t>
      </w:r>
      <w:r>
        <w:rPr>
          <w:i/>
          <w:sz w:val="24"/>
        </w:rPr>
        <w:t>appropriate,</w:t>
      </w:r>
      <w:r>
        <w:rPr>
          <w:i/>
          <w:spacing w:val="-12"/>
          <w:sz w:val="24"/>
        </w:rPr>
        <w:t> </w:t>
      </w:r>
      <w:r>
        <w:rPr>
          <w:i/>
          <w:sz w:val="24"/>
        </w:rPr>
        <w:t>this</w:t>
      </w:r>
      <w:r>
        <w:rPr>
          <w:i/>
          <w:spacing w:val="-12"/>
          <w:sz w:val="24"/>
        </w:rPr>
        <w:t> </w:t>
      </w:r>
      <w:r>
        <w:rPr>
          <w:i/>
          <w:sz w:val="24"/>
        </w:rPr>
        <w:t>fact</w:t>
      </w:r>
      <w:r>
        <w:rPr>
          <w:i/>
          <w:spacing w:val="-9"/>
          <w:sz w:val="24"/>
        </w:rPr>
        <w:t> </w:t>
      </w:r>
      <w:r>
        <w:rPr>
          <w:i/>
          <w:sz w:val="24"/>
        </w:rPr>
        <w:t>should</w:t>
      </w:r>
      <w:r>
        <w:rPr>
          <w:i/>
          <w:spacing w:val="-9"/>
          <w:sz w:val="24"/>
        </w:rPr>
        <w:t> </w:t>
      </w:r>
      <w:r>
        <w:rPr>
          <w:i/>
          <w:sz w:val="24"/>
        </w:rPr>
        <w:t>be</w:t>
      </w:r>
      <w:r>
        <w:rPr>
          <w:i/>
          <w:spacing w:val="-9"/>
          <w:sz w:val="24"/>
        </w:rPr>
        <w:t> </w:t>
      </w:r>
      <w:r>
        <w:rPr>
          <w:i/>
          <w:sz w:val="24"/>
        </w:rPr>
        <w:t>explained</w:t>
      </w:r>
      <w:r>
        <w:rPr>
          <w:i/>
          <w:sz w:val="24"/>
        </w:rPr>
        <w:t> and those evaluating the candidate’s work at the primary, unit, and campus levels should consider this alternative form of dissemination.” </w:t>
      </w:r>
      <w:r>
        <w:rPr>
          <w:sz w:val="24"/>
        </w:rPr>
        <w:t>(p. 22)</w:t>
      </w:r>
    </w:p>
    <w:p>
      <w:pPr>
        <w:pStyle w:val="BodyText"/>
        <w:spacing w:before="1"/>
      </w:pPr>
    </w:p>
    <w:p>
      <w:pPr>
        <w:pStyle w:val="BodyText"/>
        <w:ind w:left="120" w:right="182" w:firstLine="720"/>
      </w:pPr>
      <w:r>
        <w:rPr/>
        <w:t>Clinical business faculty are both academics and professionals. Thus, publicly disseminated and peer</w:t>
      </w:r>
      <w:r>
        <w:rPr>
          <w:spacing w:val="-1"/>
        </w:rPr>
        <w:t> </w:t>
      </w:r>
      <w:r>
        <w:rPr/>
        <w:t>review of scholarship (e.g., publications,</w:t>
      </w:r>
      <w:r>
        <w:rPr>
          <w:spacing w:val="-1"/>
        </w:rPr>
        <w:t> </w:t>
      </w:r>
      <w:r>
        <w:rPr/>
        <w:t>presentations,</w:t>
      </w:r>
      <w:r>
        <w:rPr>
          <w:spacing w:val="-1"/>
        </w:rPr>
        <w:t> </w:t>
      </w:r>
      <w:r>
        <w:rPr/>
        <w:t>workshops) may include both the academic community and the professional community with whom Clinical faculty interact. Dissemination occurs at many levels. Unlike tenure track faculty</w:t>
      </w:r>
      <w:hyperlink w:history="true" w:anchor="_bookmark10">
        <w:r>
          <w:rPr>
            <w:vertAlign w:val="superscript"/>
          </w:rPr>
          <w:t>11</w:t>
        </w:r>
      </w:hyperlink>
      <w:r>
        <w:rPr>
          <w:vertAlign w:val="baseline"/>
        </w:rPr>
        <w:t> who are expected to meet promotion criteria primarily based on publications in peer-reviewed journals recognized for their prominence in the field, clinical faculty are expected to focus on a broader range of activities including presentations, publications in both peer and non-peer reviewed journals,</w:t>
      </w:r>
      <w:r>
        <w:rPr>
          <w:spacing w:val="-3"/>
          <w:vertAlign w:val="baseline"/>
        </w:rPr>
        <w:t> </w:t>
      </w:r>
      <w:r>
        <w:rPr>
          <w:vertAlign w:val="baseline"/>
        </w:rPr>
        <w:t>professional</w:t>
      </w:r>
      <w:r>
        <w:rPr>
          <w:spacing w:val="-6"/>
          <w:vertAlign w:val="baseline"/>
        </w:rPr>
        <w:t> </w:t>
      </w:r>
      <w:r>
        <w:rPr>
          <w:vertAlign w:val="baseline"/>
        </w:rPr>
        <w:t>publications,</w:t>
      </w:r>
      <w:r>
        <w:rPr>
          <w:spacing w:val="-3"/>
          <w:vertAlign w:val="baseline"/>
        </w:rPr>
        <w:t> </w:t>
      </w:r>
      <w:r>
        <w:rPr>
          <w:vertAlign w:val="baseline"/>
        </w:rPr>
        <w:t>books,</w:t>
      </w:r>
      <w:r>
        <w:rPr>
          <w:spacing w:val="-3"/>
          <w:vertAlign w:val="baseline"/>
        </w:rPr>
        <w:t> </w:t>
      </w:r>
      <w:r>
        <w:rPr>
          <w:vertAlign w:val="baseline"/>
        </w:rPr>
        <w:t>book</w:t>
      </w:r>
      <w:r>
        <w:rPr>
          <w:spacing w:val="-5"/>
          <w:vertAlign w:val="baseline"/>
        </w:rPr>
        <w:t> </w:t>
      </w:r>
      <w:r>
        <w:rPr>
          <w:vertAlign w:val="baseline"/>
        </w:rPr>
        <w:t>chapters,</w:t>
      </w:r>
      <w:r>
        <w:rPr>
          <w:spacing w:val="-3"/>
          <w:vertAlign w:val="baseline"/>
        </w:rPr>
        <w:t> </w:t>
      </w:r>
      <w:r>
        <w:rPr>
          <w:vertAlign w:val="baseline"/>
        </w:rPr>
        <w:t>cases,</w:t>
      </w:r>
      <w:r>
        <w:rPr>
          <w:spacing w:val="-3"/>
          <w:vertAlign w:val="baseline"/>
        </w:rPr>
        <w:t> </w:t>
      </w:r>
      <w:r>
        <w:rPr>
          <w:vertAlign w:val="baseline"/>
        </w:rPr>
        <w:t>grants,</w:t>
      </w:r>
      <w:r>
        <w:rPr>
          <w:spacing w:val="-3"/>
          <w:vertAlign w:val="baseline"/>
        </w:rPr>
        <w:t> </w:t>
      </w:r>
      <w:r>
        <w:rPr>
          <w:vertAlign w:val="baseline"/>
        </w:rPr>
        <w:t>blogs,</w:t>
      </w:r>
      <w:r>
        <w:rPr>
          <w:spacing w:val="-3"/>
          <w:vertAlign w:val="baseline"/>
        </w:rPr>
        <w:t> </w:t>
      </w:r>
      <w:r>
        <w:rPr>
          <w:vertAlign w:val="baseline"/>
        </w:rPr>
        <w:t>material</w:t>
      </w:r>
      <w:r>
        <w:rPr>
          <w:spacing w:val="-3"/>
          <w:vertAlign w:val="baseline"/>
        </w:rPr>
        <w:t> </w:t>
      </w:r>
      <w:r>
        <w:rPr>
          <w:vertAlign w:val="baseline"/>
        </w:rPr>
        <w:t>in</w:t>
      </w:r>
      <w:r>
        <w:rPr>
          <w:spacing w:val="-2"/>
          <w:vertAlign w:val="baseline"/>
        </w:rPr>
        <w:t> </w:t>
      </w:r>
      <w:r>
        <w:rPr>
          <w:vertAlign w:val="baseline"/>
        </w:rPr>
        <w:t>media</w:t>
      </w:r>
    </w:p>
    <w:p>
      <w:pPr>
        <w:pStyle w:val="BodyText"/>
        <w:spacing w:before="12"/>
        <w:rPr>
          <w:sz w:val="11"/>
        </w:rPr>
      </w:pPr>
      <w:r>
        <w:rPr/>
        <mc:AlternateContent>
          <mc:Choice Requires="wps">
            <w:drawing>
              <wp:anchor distT="0" distB="0" distL="0" distR="0" allowOverlap="1" layoutInCell="1" locked="0" behindDoc="1" simplePos="0" relativeHeight="487592448">
                <wp:simplePos x="0" y="0"/>
                <wp:positionH relativeFrom="page">
                  <wp:posOffset>914400</wp:posOffset>
                </wp:positionH>
                <wp:positionV relativeFrom="paragraph">
                  <wp:posOffset>108185</wp:posOffset>
                </wp:positionV>
                <wp:extent cx="1828800"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8.518579pt;width:144pt;height:.599pt;mso-position-horizontal-relative:page;mso-position-vertical-relative:paragraph;z-index:-15724032;mso-wrap-distance-left:0;mso-wrap-distance-right:0" id="docshape10" filled="true" fillcolor="#000000" stroked="false">
                <v:fill type="solid"/>
                <w10:wrap type="topAndBottom"/>
              </v:rect>
            </w:pict>
          </mc:Fallback>
        </mc:AlternateContent>
      </w:r>
    </w:p>
    <w:p>
      <w:pPr>
        <w:spacing w:before="104"/>
        <w:ind w:left="119" w:right="191" w:firstLine="0"/>
        <w:jc w:val="left"/>
        <w:rPr>
          <w:sz w:val="20"/>
        </w:rPr>
      </w:pPr>
      <w:bookmarkStart w:name="_bookmark10" w:id="25"/>
      <w:bookmarkEnd w:id="25"/>
      <w:r>
        <w:rPr/>
      </w:r>
      <w:r>
        <w:rPr>
          <w:sz w:val="20"/>
          <w:vertAlign w:val="superscript"/>
        </w:rPr>
        <w:t>11</w:t>
      </w:r>
      <w:r>
        <w:rPr>
          <w:spacing w:val="-4"/>
          <w:sz w:val="20"/>
          <w:vertAlign w:val="baseline"/>
        </w:rPr>
        <w:t> </w:t>
      </w:r>
      <w:r>
        <w:rPr>
          <w:sz w:val="20"/>
          <w:vertAlign w:val="baseline"/>
        </w:rPr>
        <w:t>The</w:t>
      </w:r>
      <w:r>
        <w:rPr>
          <w:spacing w:val="-4"/>
          <w:sz w:val="20"/>
          <w:vertAlign w:val="baseline"/>
        </w:rPr>
        <w:t> </w:t>
      </w:r>
      <w:r>
        <w:rPr>
          <w:sz w:val="20"/>
          <w:vertAlign w:val="baseline"/>
        </w:rPr>
        <w:t>typical</w:t>
      </w:r>
      <w:r>
        <w:rPr>
          <w:spacing w:val="-3"/>
          <w:sz w:val="20"/>
          <w:vertAlign w:val="baseline"/>
        </w:rPr>
        <w:t> </w:t>
      </w:r>
      <w:r>
        <w:rPr>
          <w:sz w:val="20"/>
          <w:vertAlign w:val="baseline"/>
        </w:rPr>
        <w:t>teaching</w:t>
      </w:r>
      <w:r>
        <w:rPr>
          <w:spacing w:val="-3"/>
          <w:sz w:val="20"/>
          <w:vertAlign w:val="baseline"/>
        </w:rPr>
        <w:t> </w:t>
      </w:r>
      <w:r>
        <w:rPr>
          <w:sz w:val="20"/>
          <w:vertAlign w:val="baseline"/>
        </w:rPr>
        <w:t>load</w:t>
      </w:r>
      <w:r>
        <w:rPr>
          <w:spacing w:val="-2"/>
          <w:sz w:val="20"/>
          <w:vertAlign w:val="baseline"/>
        </w:rPr>
        <w:t> </w:t>
      </w:r>
      <w:r>
        <w:rPr>
          <w:sz w:val="20"/>
          <w:vertAlign w:val="baseline"/>
        </w:rPr>
        <w:t>of</w:t>
      </w:r>
      <w:r>
        <w:rPr>
          <w:spacing w:val="-4"/>
          <w:sz w:val="20"/>
          <w:vertAlign w:val="baseline"/>
        </w:rPr>
        <w:t> </w:t>
      </w:r>
      <w:r>
        <w:rPr>
          <w:sz w:val="20"/>
          <w:vertAlign w:val="baseline"/>
        </w:rPr>
        <w:t>a</w:t>
      </w:r>
      <w:r>
        <w:rPr>
          <w:spacing w:val="-3"/>
          <w:sz w:val="20"/>
          <w:vertAlign w:val="baseline"/>
        </w:rPr>
        <w:t> </w:t>
      </w:r>
      <w:r>
        <w:rPr>
          <w:sz w:val="20"/>
          <w:vertAlign w:val="baseline"/>
        </w:rPr>
        <w:t>clinical</w:t>
      </w:r>
      <w:r>
        <w:rPr>
          <w:spacing w:val="-3"/>
          <w:sz w:val="20"/>
          <w:vertAlign w:val="baseline"/>
        </w:rPr>
        <w:t> </w:t>
      </w:r>
      <w:r>
        <w:rPr>
          <w:sz w:val="20"/>
          <w:vertAlign w:val="baseline"/>
        </w:rPr>
        <w:t>faculty</w:t>
      </w:r>
      <w:r>
        <w:rPr>
          <w:spacing w:val="-2"/>
          <w:sz w:val="20"/>
          <w:vertAlign w:val="baseline"/>
        </w:rPr>
        <w:t> </w:t>
      </w:r>
      <w:r>
        <w:rPr>
          <w:sz w:val="20"/>
          <w:vertAlign w:val="baseline"/>
        </w:rPr>
        <w:t>is</w:t>
      </w:r>
      <w:r>
        <w:rPr>
          <w:spacing w:val="-2"/>
          <w:sz w:val="20"/>
          <w:vertAlign w:val="baseline"/>
        </w:rPr>
        <w:t> </w:t>
      </w:r>
      <w:r>
        <w:rPr>
          <w:sz w:val="20"/>
          <w:vertAlign w:val="baseline"/>
        </w:rPr>
        <w:t>18</w:t>
      </w:r>
      <w:r>
        <w:rPr>
          <w:spacing w:val="-3"/>
          <w:sz w:val="20"/>
          <w:vertAlign w:val="baseline"/>
        </w:rPr>
        <w:t> </w:t>
      </w:r>
      <w:r>
        <w:rPr>
          <w:sz w:val="20"/>
          <w:vertAlign w:val="baseline"/>
        </w:rPr>
        <w:t>credit</w:t>
      </w:r>
      <w:r>
        <w:rPr>
          <w:spacing w:val="-3"/>
          <w:sz w:val="20"/>
          <w:vertAlign w:val="baseline"/>
        </w:rPr>
        <w:t> </w:t>
      </w:r>
      <w:r>
        <w:rPr>
          <w:sz w:val="20"/>
          <w:vertAlign w:val="baseline"/>
        </w:rPr>
        <w:t>hours</w:t>
      </w:r>
      <w:r>
        <w:rPr>
          <w:spacing w:val="-2"/>
          <w:sz w:val="20"/>
          <w:vertAlign w:val="baseline"/>
        </w:rPr>
        <w:t> </w:t>
      </w:r>
      <w:r>
        <w:rPr>
          <w:sz w:val="20"/>
          <w:vertAlign w:val="baseline"/>
        </w:rPr>
        <w:t>compared</w:t>
      </w:r>
      <w:r>
        <w:rPr>
          <w:spacing w:val="-2"/>
          <w:sz w:val="20"/>
          <w:vertAlign w:val="baseline"/>
        </w:rPr>
        <w:t> </w:t>
      </w:r>
      <w:r>
        <w:rPr>
          <w:sz w:val="20"/>
          <w:vertAlign w:val="baseline"/>
        </w:rPr>
        <w:t>to</w:t>
      </w:r>
      <w:r>
        <w:rPr>
          <w:spacing w:val="-3"/>
          <w:sz w:val="20"/>
          <w:vertAlign w:val="baseline"/>
        </w:rPr>
        <w:t> </w:t>
      </w:r>
      <w:r>
        <w:rPr>
          <w:sz w:val="20"/>
          <w:vertAlign w:val="baseline"/>
        </w:rPr>
        <w:t>a</w:t>
      </w:r>
      <w:r>
        <w:rPr>
          <w:spacing w:val="-3"/>
          <w:sz w:val="20"/>
          <w:vertAlign w:val="baseline"/>
        </w:rPr>
        <w:t> </w:t>
      </w:r>
      <w:r>
        <w:rPr>
          <w:sz w:val="20"/>
          <w:vertAlign w:val="baseline"/>
        </w:rPr>
        <w:t>tenure</w:t>
      </w:r>
      <w:r>
        <w:rPr>
          <w:spacing w:val="-4"/>
          <w:sz w:val="20"/>
          <w:vertAlign w:val="baseline"/>
        </w:rPr>
        <w:t> </w:t>
      </w:r>
      <w:r>
        <w:rPr>
          <w:sz w:val="20"/>
          <w:vertAlign w:val="baseline"/>
        </w:rPr>
        <w:t>track</w:t>
      </w:r>
      <w:r>
        <w:rPr>
          <w:spacing w:val="-2"/>
          <w:sz w:val="20"/>
          <w:vertAlign w:val="baseline"/>
        </w:rPr>
        <w:t> </w:t>
      </w:r>
      <w:r>
        <w:rPr>
          <w:sz w:val="20"/>
          <w:vertAlign w:val="baseline"/>
        </w:rPr>
        <w:t>faculty</w:t>
      </w:r>
      <w:r>
        <w:rPr>
          <w:spacing w:val="-2"/>
          <w:sz w:val="20"/>
          <w:vertAlign w:val="baseline"/>
        </w:rPr>
        <w:t> </w:t>
      </w:r>
      <w:r>
        <w:rPr>
          <w:sz w:val="20"/>
          <w:vertAlign w:val="baseline"/>
        </w:rPr>
        <w:t>member</w:t>
      </w:r>
      <w:r>
        <w:rPr>
          <w:spacing w:val="-3"/>
          <w:sz w:val="20"/>
          <w:vertAlign w:val="baseline"/>
        </w:rPr>
        <w:t> </w:t>
      </w:r>
      <w:r>
        <w:rPr>
          <w:sz w:val="20"/>
          <w:vertAlign w:val="baseline"/>
        </w:rPr>
        <w:t>with</w:t>
      </w:r>
      <w:r>
        <w:rPr>
          <w:spacing w:val="-2"/>
          <w:sz w:val="20"/>
          <w:vertAlign w:val="baseline"/>
        </w:rPr>
        <w:t> </w:t>
      </w:r>
      <w:r>
        <w:rPr>
          <w:sz w:val="20"/>
          <w:vertAlign w:val="baseline"/>
        </w:rPr>
        <w:t>a typical teaching load of 12 credits and an opportunity to reduce teaching loads by an additional 3 credit hours.</w:t>
      </w:r>
    </w:p>
    <w:p>
      <w:pPr>
        <w:spacing w:before="0"/>
        <w:ind w:left="119" w:right="191" w:firstLine="0"/>
        <w:jc w:val="left"/>
        <w:rPr>
          <w:sz w:val="20"/>
        </w:rPr>
      </w:pPr>
      <w:r>
        <w:rPr>
          <w:sz w:val="20"/>
        </w:rPr>
        <w:t>Because</w:t>
      </w:r>
      <w:r>
        <w:rPr>
          <w:spacing w:val="-4"/>
          <w:sz w:val="20"/>
        </w:rPr>
        <w:t> </w:t>
      </w:r>
      <w:r>
        <w:rPr>
          <w:sz w:val="20"/>
        </w:rPr>
        <w:t>the</w:t>
      </w:r>
      <w:r>
        <w:rPr>
          <w:spacing w:val="-4"/>
          <w:sz w:val="20"/>
        </w:rPr>
        <w:t> </w:t>
      </w:r>
      <w:r>
        <w:rPr>
          <w:sz w:val="20"/>
        </w:rPr>
        <w:t>teaching</w:t>
      </w:r>
      <w:r>
        <w:rPr>
          <w:spacing w:val="-3"/>
          <w:sz w:val="20"/>
        </w:rPr>
        <w:t> </w:t>
      </w:r>
      <w:r>
        <w:rPr>
          <w:sz w:val="20"/>
        </w:rPr>
        <w:t>load</w:t>
      </w:r>
      <w:r>
        <w:rPr>
          <w:spacing w:val="-2"/>
          <w:sz w:val="20"/>
        </w:rPr>
        <w:t> </w:t>
      </w:r>
      <w:r>
        <w:rPr>
          <w:sz w:val="20"/>
        </w:rPr>
        <w:t>and</w:t>
      </w:r>
      <w:r>
        <w:rPr>
          <w:spacing w:val="-2"/>
          <w:sz w:val="20"/>
        </w:rPr>
        <w:t> </w:t>
      </w:r>
      <w:r>
        <w:rPr>
          <w:sz w:val="20"/>
        </w:rPr>
        <w:t>service</w:t>
      </w:r>
      <w:r>
        <w:rPr>
          <w:spacing w:val="-4"/>
          <w:sz w:val="20"/>
        </w:rPr>
        <w:t> </w:t>
      </w:r>
      <w:r>
        <w:rPr>
          <w:sz w:val="20"/>
        </w:rPr>
        <w:t>engagement</w:t>
      </w:r>
      <w:r>
        <w:rPr>
          <w:spacing w:val="-3"/>
          <w:sz w:val="20"/>
        </w:rPr>
        <w:t> </w:t>
      </w:r>
      <w:r>
        <w:rPr>
          <w:sz w:val="20"/>
        </w:rPr>
        <w:t>is</w:t>
      </w:r>
      <w:r>
        <w:rPr>
          <w:spacing w:val="-2"/>
          <w:sz w:val="20"/>
        </w:rPr>
        <w:t> </w:t>
      </w:r>
      <w:r>
        <w:rPr>
          <w:sz w:val="20"/>
        </w:rPr>
        <w:t>greater</w:t>
      </w:r>
      <w:r>
        <w:rPr>
          <w:spacing w:val="-3"/>
          <w:sz w:val="20"/>
        </w:rPr>
        <w:t> </w:t>
      </w:r>
      <w:r>
        <w:rPr>
          <w:sz w:val="20"/>
        </w:rPr>
        <w:t>for</w:t>
      </w:r>
      <w:r>
        <w:rPr>
          <w:spacing w:val="-3"/>
          <w:sz w:val="20"/>
        </w:rPr>
        <w:t> </w:t>
      </w:r>
      <w:r>
        <w:rPr>
          <w:sz w:val="20"/>
        </w:rPr>
        <w:t>clinical</w:t>
      </w:r>
      <w:r>
        <w:rPr>
          <w:spacing w:val="-1"/>
          <w:sz w:val="20"/>
        </w:rPr>
        <w:t> </w:t>
      </w:r>
      <w:r>
        <w:rPr>
          <w:sz w:val="20"/>
        </w:rPr>
        <w:t>faculty</w:t>
      </w:r>
      <w:r>
        <w:rPr>
          <w:spacing w:val="-2"/>
          <w:sz w:val="20"/>
        </w:rPr>
        <w:t> </w:t>
      </w:r>
      <w:r>
        <w:rPr>
          <w:sz w:val="20"/>
        </w:rPr>
        <w:t>than</w:t>
      </w:r>
      <w:r>
        <w:rPr>
          <w:spacing w:val="-2"/>
          <w:sz w:val="20"/>
        </w:rPr>
        <w:t> </w:t>
      </w:r>
      <w:r>
        <w:rPr>
          <w:sz w:val="20"/>
        </w:rPr>
        <w:t>tenure-track</w:t>
      </w:r>
      <w:r>
        <w:rPr>
          <w:spacing w:val="-2"/>
          <w:sz w:val="20"/>
        </w:rPr>
        <w:t> </w:t>
      </w:r>
      <w:r>
        <w:rPr>
          <w:sz w:val="20"/>
        </w:rPr>
        <w:t>faculty,</w:t>
      </w:r>
      <w:r>
        <w:rPr>
          <w:spacing w:val="-2"/>
          <w:sz w:val="20"/>
        </w:rPr>
        <w:t> </w:t>
      </w:r>
      <w:r>
        <w:rPr>
          <w:sz w:val="20"/>
        </w:rPr>
        <w:t>the volume of dissemination may be less and a wider array of outlets is considered.</w:t>
      </w:r>
    </w:p>
    <w:p>
      <w:pPr>
        <w:spacing w:after="0"/>
        <w:jc w:val="left"/>
        <w:rPr>
          <w:sz w:val="20"/>
        </w:rPr>
        <w:sectPr>
          <w:pgSz w:w="12240" w:h="15840"/>
          <w:pgMar w:header="0" w:footer="1712" w:top="1400" w:bottom="1900" w:left="1320" w:right="1180"/>
        </w:sectPr>
      </w:pPr>
    </w:p>
    <w:p>
      <w:pPr>
        <w:pStyle w:val="BodyText"/>
        <w:spacing w:before="39"/>
        <w:ind w:left="120"/>
      </w:pPr>
      <w:r>
        <w:rPr/>
        <w:t>outlets,</w:t>
      </w:r>
      <w:r>
        <w:rPr>
          <w:spacing w:val="-3"/>
        </w:rPr>
        <w:t> </w:t>
      </w:r>
      <w:r>
        <w:rPr/>
        <w:t>and</w:t>
      </w:r>
      <w:r>
        <w:rPr>
          <w:spacing w:val="-5"/>
        </w:rPr>
        <w:t> </w:t>
      </w:r>
      <w:r>
        <w:rPr/>
        <w:t>service</w:t>
      </w:r>
      <w:r>
        <w:rPr>
          <w:spacing w:val="-3"/>
        </w:rPr>
        <w:t> </w:t>
      </w:r>
      <w:r>
        <w:rPr/>
        <w:t>learning.</w:t>
      </w:r>
      <w:r>
        <w:rPr>
          <w:spacing w:val="-4"/>
        </w:rPr>
        <w:t> </w:t>
      </w:r>
      <w:r>
        <w:rPr/>
        <w:t>Teaching</w:t>
      </w:r>
      <w:r>
        <w:rPr>
          <w:spacing w:val="-4"/>
        </w:rPr>
        <w:t> </w:t>
      </w:r>
      <w:r>
        <w:rPr/>
        <w:t>scholarship</w:t>
      </w:r>
      <w:r>
        <w:rPr>
          <w:spacing w:val="-5"/>
        </w:rPr>
        <w:t> </w:t>
      </w:r>
      <w:r>
        <w:rPr/>
        <w:t>may</w:t>
      </w:r>
      <w:r>
        <w:rPr>
          <w:spacing w:val="-4"/>
        </w:rPr>
        <w:t> </w:t>
      </w:r>
      <w:r>
        <w:rPr/>
        <w:t>include</w:t>
      </w:r>
      <w:r>
        <w:rPr>
          <w:spacing w:val="-5"/>
        </w:rPr>
        <w:t> </w:t>
      </w:r>
      <w:r>
        <w:rPr/>
        <w:t>both</w:t>
      </w:r>
      <w:r>
        <w:rPr>
          <w:spacing w:val="-5"/>
        </w:rPr>
        <w:t> </w:t>
      </w:r>
      <w:r>
        <w:rPr/>
        <w:t>disciplinary</w:t>
      </w:r>
      <w:r>
        <w:rPr>
          <w:spacing w:val="-4"/>
        </w:rPr>
        <w:t> </w:t>
      </w:r>
      <w:r>
        <w:rPr/>
        <w:t>scholarship</w:t>
      </w:r>
      <w:r>
        <w:rPr>
          <w:spacing w:val="-5"/>
        </w:rPr>
        <w:t> </w:t>
      </w:r>
      <w:r>
        <w:rPr/>
        <w:t>and pedagogical scholarship.</w:t>
      </w:r>
      <w:r>
        <w:rPr>
          <w:spacing w:val="40"/>
        </w:rPr>
        <w:t> </w:t>
      </w:r>
      <w:r>
        <w:rPr/>
        <w:t>Dissemination is evaluated based on its rigor and contribution; thus, significantly greater weight is placed on academically peer-reviewed scholarship.</w:t>
      </w:r>
    </w:p>
    <w:p>
      <w:pPr>
        <w:pStyle w:val="BodyText"/>
        <w:spacing w:before="4"/>
      </w:pPr>
    </w:p>
    <w:p>
      <w:pPr>
        <w:pStyle w:val="Heading1"/>
        <w:numPr>
          <w:ilvl w:val="1"/>
          <w:numId w:val="1"/>
        </w:numPr>
        <w:tabs>
          <w:tab w:pos="479" w:val="left" w:leader="none"/>
        </w:tabs>
        <w:spacing w:line="240" w:lineRule="auto" w:before="0" w:after="0"/>
        <w:ind w:left="479" w:right="0" w:hanging="359"/>
        <w:jc w:val="left"/>
      </w:pPr>
      <w:bookmarkStart w:name="A. Teaching Ratings and Related Explanat" w:id="26"/>
      <w:bookmarkEnd w:id="26"/>
      <w:r>
        <w:rPr>
          <w:b w:val="0"/>
        </w:rPr>
      </w:r>
      <w:r>
        <w:rPr/>
        <w:t>Teaching</w:t>
      </w:r>
      <w:r>
        <w:rPr>
          <w:spacing w:val="-13"/>
        </w:rPr>
        <w:t> </w:t>
      </w:r>
      <w:r>
        <w:rPr/>
        <w:t>Ratings</w:t>
      </w:r>
      <w:r>
        <w:rPr>
          <w:spacing w:val="-13"/>
        </w:rPr>
        <w:t> </w:t>
      </w:r>
      <w:r>
        <w:rPr/>
        <w:t>and</w:t>
      </w:r>
      <w:r>
        <w:rPr>
          <w:spacing w:val="-14"/>
        </w:rPr>
        <w:t> </w:t>
      </w:r>
      <w:r>
        <w:rPr/>
        <w:t>Related</w:t>
      </w:r>
      <w:r>
        <w:rPr>
          <w:spacing w:val="-13"/>
        </w:rPr>
        <w:t> </w:t>
      </w:r>
      <w:r>
        <w:rPr>
          <w:spacing w:val="-2"/>
        </w:rPr>
        <w:t>Explanations</w:t>
      </w:r>
    </w:p>
    <w:p>
      <w:pPr>
        <w:pStyle w:val="BodyText"/>
        <w:spacing w:before="5"/>
        <w:rPr>
          <w:b/>
        </w:rPr>
      </w:pPr>
    </w:p>
    <w:p>
      <w:pPr>
        <w:pStyle w:val="BodyText"/>
        <w:ind w:left="211" w:right="330" w:firstLine="628"/>
      </w:pPr>
      <w:r>
        <w:rPr/>
        <w:t>The possible teaching ratings</w:t>
      </w:r>
      <w:r>
        <w:rPr>
          <w:spacing w:val="-1"/>
        </w:rPr>
        <w:t> </w:t>
      </w:r>
      <w:r>
        <w:rPr/>
        <w:t>listed below (Excellent, Highly Satisfactory,</w:t>
      </w:r>
      <w:r>
        <w:rPr>
          <w:spacing w:val="-3"/>
        </w:rPr>
        <w:t> </w:t>
      </w:r>
      <w:r>
        <w:rPr/>
        <w:t>Satisfactory, and Unsatisfactory)</w:t>
      </w:r>
      <w:r>
        <w:rPr>
          <w:spacing w:val="-3"/>
        </w:rPr>
        <w:t> </w:t>
      </w:r>
      <w:r>
        <w:rPr/>
        <w:t>are</w:t>
      </w:r>
      <w:r>
        <w:rPr>
          <w:spacing w:val="80"/>
        </w:rPr>
        <w:t> </w:t>
      </w:r>
      <w:r>
        <w:rPr/>
        <w:t>the ratings set by IUPUI Campus</w:t>
      </w:r>
      <w:r>
        <w:rPr>
          <w:spacing w:val="-3"/>
        </w:rPr>
        <w:t> </w:t>
      </w:r>
      <w:r>
        <w:rPr/>
        <w:t>policy.</w:t>
      </w:r>
      <w:hyperlink w:history="true" w:anchor="_bookmark11">
        <w:r>
          <w:rPr>
            <w:b/>
            <w:vertAlign w:val="superscript"/>
          </w:rPr>
          <w:t>12</w:t>
        </w:r>
      </w:hyperlink>
      <w:r>
        <w:rPr>
          <w:b/>
          <w:spacing w:val="40"/>
          <w:vertAlign w:val="baseline"/>
        </w:rPr>
        <w:t> </w:t>
      </w:r>
      <w:r>
        <w:rPr>
          <w:vertAlign w:val="baseline"/>
        </w:rPr>
        <w:t>This section of the document</w:t>
      </w:r>
      <w:r>
        <w:rPr>
          <w:spacing w:val="-5"/>
          <w:vertAlign w:val="baseline"/>
        </w:rPr>
        <w:t> </w:t>
      </w:r>
      <w:r>
        <w:rPr>
          <w:vertAlign w:val="baseline"/>
        </w:rPr>
        <w:t>adds</w:t>
      </w:r>
      <w:r>
        <w:rPr>
          <w:spacing w:val="-13"/>
          <w:vertAlign w:val="baseline"/>
        </w:rPr>
        <w:t> </w:t>
      </w:r>
      <w:r>
        <w:rPr>
          <w:vertAlign w:val="baseline"/>
        </w:rPr>
        <w:t>explanatory</w:t>
      </w:r>
      <w:r>
        <w:rPr>
          <w:spacing w:val="76"/>
          <w:vertAlign w:val="baseline"/>
        </w:rPr>
        <w:t> </w:t>
      </w:r>
      <w:r>
        <w:rPr>
          <w:vertAlign w:val="baseline"/>
        </w:rPr>
        <w:t>detail</w:t>
      </w:r>
      <w:r>
        <w:rPr>
          <w:spacing w:val="-13"/>
          <w:vertAlign w:val="baseline"/>
        </w:rPr>
        <w:t> </w:t>
      </w:r>
      <w:r>
        <w:rPr>
          <w:vertAlign w:val="baseline"/>
        </w:rPr>
        <w:t>regarding</w:t>
      </w:r>
      <w:r>
        <w:rPr>
          <w:spacing w:val="-13"/>
          <w:vertAlign w:val="baseline"/>
        </w:rPr>
        <w:t> </w:t>
      </w:r>
      <w:r>
        <w:rPr>
          <w:vertAlign w:val="baseline"/>
        </w:rPr>
        <w:t>those</w:t>
      </w:r>
      <w:r>
        <w:rPr>
          <w:spacing w:val="-10"/>
          <w:vertAlign w:val="baseline"/>
        </w:rPr>
        <w:t> </w:t>
      </w:r>
      <w:r>
        <w:rPr>
          <w:vertAlign w:val="baseline"/>
        </w:rPr>
        <w:t>ratings,</w:t>
      </w:r>
      <w:r>
        <w:rPr>
          <w:spacing w:val="-8"/>
          <w:vertAlign w:val="baseline"/>
        </w:rPr>
        <w:t> </w:t>
      </w:r>
      <w:r>
        <w:rPr>
          <w:vertAlign w:val="baseline"/>
        </w:rPr>
        <w:t>as</w:t>
      </w:r>
      <w:r>
        <w:rPr>
          <w:spacing w:val="-11"/>
          <w:vertAlign w:val="baseline"/>
        </w:rPr>
        <w:t> </w:t>
      </w:r>
      <w:r>
        <w:rPr>
          <w:vertAlign w:val="baseline"/>
        </w:rPr>
        <w:t>applied</w:t>
      </w:r>
      <w:r>
        <w:rPr>
          <w:spacing w:val="-9"/>
          <w:vertAlign w:val="baseline"/>
        </w:rPr>
        <w:t> </w:t>
      </w:r>
      <w:r>
        <w:rPr>
          <w:vertAlign w:val="baseline"/>
        </w:rPr>
        <w:t>by</w:t>
      </w:r>
      <w:r>
        <w:rPr>
          <w:spacing w:val="-14"/>
          <w:vertAlign w:val="baseline"/>
        </w:rPr>
        <w:t> </w:t>
      </w:r>
      <w:r>
        <w:rPr>
          <w:vertAlign w:val="baseline"/>
        </w:rPr>
        <w:t>the</w:t>
      </w:r>
      <w:r>
        <w:rPr>
          <w:spacing w:val="-8"/>
          <w:vertAlign w:val="baseline"/>
        </w:rPr>
        <w:t> </w:t>
      </w:r>
      <w:r>
        <w:rPr>
          <w:vertAlign w:val="baseline"/>
        </w:rPr>
        <w:t>Kelley</w:t>
      </w:r>
      <w:r>
        <w:rPr>
          <w:spacing w:val="-9"/>
          <w:vertAlign w:val="baseline"/>
        </w:rPr>
        <w:t> </w:t>
      </w:r>
      <w:r>
        <w:rPr>
          <w:vertAlign w:val="baseline"/>
        </w:rPr>
        <w:t>School</w:t>
      </w:r>
      <w:r>
        <w:rPr>
          <w:spacing w:val="-10"/>
          <w:vertAlign w:val="baseline"/>
        </w:rPr>
        <w:t> </w:t>
      </w:r>
      <w:r>
        <w:rPr>
          <w:vertAlign w:val="baseline"/>
        </w:rPr>
        <w:t>in cases where Clinical faculty seek promotion.</w:t>
      </w:r>
      <w:hyperlink w:history="true" w:anchor="_bookmark12">
        <w:r>
          <w:rPr>
            <w:vertAlign w:val="superscript"/>
          </w:rPr>
          <w:t>13</w:t>
        </w:r>
      </w:hyperlink>
    </w:p>
    <w:p>
      <w:pPr>
        <w:pStyle w:val="BodyText"/>
        <w:spacing w:before="292"/>
        <w:ind w:left="119" w:right="425" w:firstLine="840"/>
      </w:pPr>
      <w:r>
        <w:rPr>
          <w:b/>
          <w:i/>
        </w:rPr>
        <w:t>Excellent</w:t>
      </w:r>
      <w:r>
        <w:rPr>
          <w:b/>
        </w:rPr>
        <w:t>. </w:t>
      </w:r>
      <w:r>
        <w:rPr/>
        <w:t>The candidate</w:t>
      </w:r>
      <w:r>
        <w:rPr>
          <w:spacing w:val="-3"/>
        </w:rPr>
        <w:t> </w:t>
      </w:r>
      <w:r>
        <w:rPr/>
        <w:t>has carried a</w:t>
      </w:r>
      <w:r>
        <w:rPr>
          <w:spacing w:val="-1"/>
        </w:rPr>
        <w:t> </w:t>
      </w:r>
      <w:r>
        <w:rPr/>
        <w:t>teaching load that is appropriate for</w:t>
      </w:r>
      <w:r>
        <w:rPr>
          <w:spacing w:val="-1"/>
        </w:rPr>
        <w:t> </w:t>
      </w:r>
      <w:r>
        <w:rPr/>
        <w:t>the candidate’s</w:t>
      </w:r>
      <w:r>
        <w:rPr>
          <w:spacing w:val="74"/>
        </w:rPr>
        <w:t> </w:t>
      </w:r>
      <w:r>
        <w:rPr/>
        <w:t>department</w:t>
      </w:r>
      <w:r>
        <w:rPr>
          <w:spacing w:val="-9"/>
        </w:rPr>
        <w:t> </w:t>
      </w:r>
      <w:r>
        <w:rPr/>
        <w:t>or</w:t>
      </w:r>
      <w:r>
        <w:rPr>
          <w:spacing w:val="-7"/>
        </w:rPr>
        <w:t> </w:t>
      </w:r>
      <w:r>
        <w:rPr/>
        <w:t>area</w:t>
      </w:r>
      <w:r>
        <w:rPr>
          <w:spacing w:val="-5"/>
        </w:rPr>
        <w:t> </w:t>
      </w:r>
      <w:r>
        <w:rPr/>
        <w:t>(considering</w:t>
      </w:r>
      <w:r>
        <w:rPr>
          <w:spacing w:val="-10"/>
        </w:rPr>
        <w:t> </w:t>
      </w:r>
      <w:r>
        <w:rPr/>
        <w:t>number</w:t>
      </w:r>
      <w:r>
        <w:rPr>
          <w:spacing w:val="-12"/>
        </w:rPr>
        <w:t> </w:t>
      </w:r>
      <w:r>
        <w:rPr/>
        <w:t>of</w:t>
      </w:r>
      <w:r>
        <w:rPr>
          <w:spacing w:val="-6"/>
        </w:rPr>
        <w:t> </w:t>
      </w:r>
      <w:r>
        <w:rPr/>
        <w:t>courses/sections</w:t>
      </w:r>
      <w:r>
        <w:rPr>
          <w:spacing w:val="-10"/>
        </w:rPr>
        <w:t> </w:t>
      </w:r>
      <w:r>
        <w:rPr/>
        <w:t>taught,</w:t>
      </w:r>
      <w:r>
        <w:rPr>
          <w:spacing w:val="-5"/>
        </w:rPr>
        <w:t> </w:t>
      </w:r>
      <w:r>
        <w:rPr/>
        <w:t>course</w:t>
      </w:r>
      <w:r>
        <w:rPr>
          <w:spacing w:val="-7"/>
        </w:rPr>
        <w:t> </w:t>
      </w:r>
      <w:r>
        <w:rPr/>
        <w:t>sizes, and willingness to teach new courses, as needed) and teaching contributions support the School’s</w:t>
      </w:r>
      <w:r>
        <w:rPr>
          <w:spacing w:val="-2"/>
        </w:rPr>
        <w:t> </w:t>
      </w:r>
      <w:r>
        <w:rPr/>
        <w:t>teaching mission, values and goals.</w:t>
      </w:r>
      <w:r>
        <w:rPr>
          <w:spacing w:val="-3"/>
        </w:rPr>
        <w:t> </w:t>
      </w:r>
      <w:r>
        <w:rPr/>
        <w:t>The</w:t>
      </w:r>
      <w:r>
        <w:rPr>
          <w:spacing w:val="-6"/>
        </w:rPr>
        <w:t> </w:t>
      </w:r>
      <w:r>
        <w:rPr/>
        <w:t>portfolio</w:t>
      </w:r>
      <w:r>
        <w:rPr>
          <w:spacing w:val="-6"/>
        </w:rPr>
        <w:t> </w:t>
      </w:r>
      <w:r>
        <w:rPr/>
        <w:t>of</w:t>
      </w:r>
      <w:r>
        <w:rPr>
          <w:spacing w:val="-3"/>
        </w:rPr>
        <w:t> </w:t>
      </w:r>
      <w:r>
        <w:rPr/>
        <w:t>student</w:t>
      </w:r>
      <w:r>
        <w:rPr>
          <w:spacing w:val="-8"/>
        </w:rPr>
        <w:t> </w:t>
      </w:r>
      <w:r>
        <w:rPr/>
        <w:t>evaluations,</w:t>
      </w:r>
      <w:r>
        <w:rPr>
          <w:spacing w:val="-7"/>
        </w:rPr>
        <w:t> </w:t>
      </w:r>
      <w:r>
        <w:rPr/>
        <w:t>unsolicited </w:t>
      </w:r>
      <w:r>
        <w:rPr>
          <w:spacing w:val="-2"/>
        </w:rPr>
        <w:t>comments, peer evaluation, professional development, contributions to course/curriculum </w:t>
      </w:r>
      <w:r>
        <w:rPr/>
        <w:t>development,</w:t>
      </w:r>
      <w:r>
        <w:rPr>
          <w:spacing w:val="-14"/>
        </w:rPr>
        <w:t> </w:t>
      </w:r>
      <w:r>
        <w:rPr/>
        <w:t>and</w:t>
      </w:r>
      <w:r>
        <w:rPr>
          <w:spacing w:val="-14"/>
        </w:rPr>
        <w:t> </w:t>
      </w:r>
      <w:r>
        <w:rPr/>
        <w:t>scholarship/dissemination</w:t>
      </w:r>
      <w:r>
        <w:rPr>
          <w:spacing w:val="-13"/>
        </w:rPr>
        <w:t> </w:t>
      </w:r>
      <w:r>
        <w:rPr/>
        <w:t>support</w:t>
      </w:r>
      <w:r>
        <w:rPr>
          <w:spacing w:val="-14"/>
        </w:rPr>
        <w:t> </w:t>
      </w:r>
      <w:r>
        <w:rPr/>
        <w:t>a</w:t>
      </w:r>
      <w:r>
        <w:rPr>
          <w:spacing w:val="-13"/>
        </w:rPr>
        <w:t> </w:t>
      </w:r>
      <w:r>
        <w:rPr/>
        <w:t>case</w:t>
      </w:r>
      <w:r>
        <w:rPr>
          <w:spacing w:val="-14"/>
        </w:rPr>
        <w:t> </w:t>
      </w:r>
      <w:r>
        <w:rPr/>
        <w:t>for</w:t>
      </w:r>
      <w:r>
        <w:rPr>
          <w:spacing w:val="-13"/>
        </w:rPr>
        <w:t> </w:t>
      </w:r>
      <w:r>
        <w:rPr/>
        <w:t>overall</w:t>
      </w:r>
      <w:r>
        <w:rPr>
          <w:spacing w:val="-14"/>
        </w:rPr>
        <w:t> </w:t>
      </w:r>
      <w:r>
        <w:rPr/>
        <w:t>excellence.</w:t>
      </w:r>
      <w:r>
        <w:rPr>
          <w:spacing w:val="-14"/>
        </w:rPr>
        <w:t> </w:t>
      </w:r>
      <w:r>
        <w:rPr/>
        <w:t>The</w:t>
      </w:r>
      <w:r>
        <w:rPr>
          <w:spacing w:val="-13"/>
        </w:rPr>
        <w:t> </w:t>
      </w:r>
      <w:r>
        <w:rPr/>
        <w:t>results obtained</w:t>
      </w:r>
      <w:r>
        <w:rPr>
          <w:spacing w:val="-11"/>
        </w:rPr>
        <w:t> </w:t>
      </w:r>
      <w:r>
        <w:rPr/>
        <w:t>from</w:t>
      </w:r>
      <w:r>
        <w:rPr>
          <w:spacing w:val="-12"/>
        </w:rPr>
        <w:t> </w:t>
      </w:r>
      <w:r>
        <w:rPr/>
        <w:t>student</w:t>
      </w:r>
      <w:r>
        <w:rPr>
          <w:spacing w:val="40"/>
        </w:rPr>
        <w:t> </w:t>
      </w:r>
      <w:r>
        <w:rPr/>
        <w:t>evaluation</w:t>
      </w:r>
      <w:r>
        <w:rPr>
          <w:spacing w:val="-9"/>
        </w:rPr>
        <w:t> </w:t>
      </w:r>
      <w:r>
        <w:rPr/>
        <w:t>instruments</w:t>
      </w:r>
      <w:r>
        <w:rPr>
          <w:spacing w:val="-13"/>
        </w:rPr>
        <w:t> </w:t>
      </w:r>
      <w:r>
        <w:rPr/>
        <w:t>(the</w:t>
      </w:r>
      <w:r>
        <w:rPr>
          <w:spacing w:val="-13"/>
        </w:rPr>
        <w:t> </w:t>
      </w:r>
      <w:r>
        <w:rPr/>
        <w:t>numerically</w:t>
      </w:r>
      <w:r>
        <w:rPr>
          <w:spacing w:val="-13"/>
        </w:rPr>
        <w:t> </w:t>
      </w:r>
      <w:r>
        <w:rPr/>
        <w:t>scored</w:t>
      </w:r>
      <w:r>
        <w:rPr>
          <w:spacing w:val="-13"/>
        </w:rPr>
        <w:t> </w:t>
      </w:r>
      <w:r>
        <w:rPr/>
        <w:t>questions</w:t>
      </w:r>
      <w:r>
        <w:rPr>
          <w:spacing w:val="-11"/>
        </w:rPr>
        <w:t> </w:t>
      </w:r>
      <w:r>
        <w:rPr/>
        <w:t>as</w:t>
      </w:r>
      <w:r>
        <w:rPr>
          <w:spacing w:val="-14"/>
        </w:rPr>
        <w:t> </w:t>
      </w:r>
      <w:r>
        <w:rPr/>
        <w:t>well</w:t>
      </w:r>
      <w:r>
        <w:rPr>
          <w:spacing w:val="-10"/>
        </w:rPr>
        <w:t> </w:t>
      </w:r>
      <w:r>
        <w:rPr/>
        <w:t>as</w:t>
      </w:r>
      <w:r>
        <w:rPr>
          <w:spacing w:val="-14"/>
        </w:rPr>
        <w:t> </w:t>
      </w:r>
      <w:r>
        <w:rPr/>
        <w:t>the open-ended</w:t>
      </w:r>
      <w:r>
        <w:rPr>
          <w:spacing w:val="80"/>
        </w:rPr>
        <w:t> </w:t>
      </w:r>
      <w:r>
        <w:rPr/>
        <w:t>questions calling</w:t>
      </w:r>
      <w:r>
        <w:rPr>
          <w:spacing w:val="-2"/>
        </w:rPr>
        <w:t> </w:t>
      </w:r>
      <w:r>
        <w:rPr/>
        <w:t>for</w:t>
      </w:r>
      <w:r>
        <w:rPr>
          <w:spacing w:val="-2"/>
        </w:rPr>
        <w:t> </w:t>
      </w:r>
      <w:r>
        <w:rPr/>
        <w:t>narrative responses) are sufficient</w:t>
      </w:r>
      <w:r>
        <w:rPr>
          <w:spacing w:val="-1"/>
        </w:rPr>
        <w:t> </w:t>
      </w:r>
      <w:r>
        <w:rPr/>
        <w:t>to lend support to</w:t>
      </w:r>
      <w:r>
        <w:rPr>
          <w:spacing w:val="80"/>
        </w:rPr>
        <w:t> </w:t>
      </w:r>
      <w:r>
        <w:rPr/>
        <w:t>the conclusion</w:t>
      </w:r>
      <w:r>
        <w:rPr>
          <w:spacing w:val="-4"/>
        </w:rPr>
        <w:t> </w:t>
      </w:r>
      <w:r>
        <w:rPr/>
        <w:t>that</w:t>
      </w:r>
      <w:r>
        <w:rPr>
          <w:spacing w:val="-1"/>
        </w:rPr>
        <w:t> </w:t>
      </w:r>
      <w:r>
        <w:rPr/>
        <w:t>the</w:t>
      </w:r>
      <w:r>
        <w:rPr>
          <w:spacing w:val="-2"/>
        </w:rPr>
        <w:t> </w:t>
      </w:r>
      <w:r>
        <w:rPr/>
        <w:t>candidate</w:t>
      </w:r>
      <w:r>
        <w:rPr>
          <w:spacing w:val="-2"/>
        </w:rPr>
        <w:t> </w:t>
      </w:r>
      <w:r>
        <w:rPr/>
        <w:t>is excellent</w:t>
      </w:r>
      <w:r>
        <w:rPr>
          <w:spacing w:val="-1"/>
        </w:rPr>
        <w:t> </w:t>
      </w:r>
      <w:r>
        <w:rPr/>
        <w:t>in</w:t>
      </w:r>
      <w:r>
        <w:rPr>
          <w:spacing w:val="-1"/>
        </w:rPr>
        <w:t> </w:t>
      </w:r>
      <w:r>
        <w:rPr/>
        <w:t>teaching.</w:t>
      </w:r>
      <w:r>
        <w:rPr>
          <w:spacing w:val="40"/>
        </w:rPr>
        <w:t> </w:t>
      </w:r>
      <w:r>
        <w:rPr/>
        <w:t>Unsolicited student</w:t>
      </w:r>
      <w:r>
        <w:rPr>
          <w:spacing w:val="80"/>
        </w:rPr>
        <w:t> </w:t>
      </w:r>
      <w:r>
        <w:rPr/>
        <w:t>letters</w:t>
      </w:r>
      <w:r>
        <w:rPr>
          <w:spacing w:val="-3"/>
        </w:rPr>
        <w:t> </w:t>
      </w:r>
      <w:r>
        <w:rPr/>
        <w:t>or</w:t>
      </w:r>
      <w:r>
        <w:rPr>
          <w:spacing w:val="-5"/>
        </w:rPr>
        <w:t> </w:t>
      </w:r>
      <w:r>
        <w:rPr/>
        <w:t>other similar indications provide further support for such a conclusion.</w:t>
      </w:r>
    </w:p>
    <w:p>
      <w:pPr>
        <w:pStyle w:val="BodyText"/>
      </w:pPr>
    </w:p>
    <w:p>
      <w:pPr>
        <w:pStyle w:val="BodyText"/>
        <w:spacing w:line="237" w:lineRule="auto"/>
        <w:ind w:left="119" w:right="700" w:firstLine="840"/>
      </w:pPr>
      <w:r>
        <w:rPr/>
        <w:t>Peer evaluations</w:t>
      </w:r>
      <w:r>
        <w:rPr>
          <w:spacing w:val="-1"/>
        </w:rPr>
        <w:t> </w:t>
      </w:r>
      <w:r>
        <w:rPr/>
        <w:t>by faculty colleagues offer well-developed justifications for concluding</w:t>
      </w:r>
      <w:r>
        <w:rPr>
          <w:spacing w:val="-10"/>
        </w:rPr>
        <w:t> </w:t>
      </w:r>
      <w:r>
        <w:rPr/>
        <w:t>that</w:t>
      </w:r>
      <w:r>
        <w:rPr>
          <w:spacing w:val="-8"/>
        </w:rPr>
        <w:t> </w:t>
      </w:r>
      <w:r>
        <w:rPr/>
        <w:t>the</w:t>
      </w:r>
      <w:r>
        <w:rPr>
          <w:spacing w:val="-7"/>
        </w:rPr>
        <w:t> </w:t>
      </w:r>
      <w:r>
        <w:rPr/>
        <w:t>candidate’s</w:t>
      </w:r>
      <w:r>
        <w:rPr>
          <w:spacing w:val="-10"/>
        </w:rPr>
        <w:t> </w:t>
      </w:r>
      <w:r>
        <w:rPr/>
        <w:t>teaching</w:t>
      </w:r>
      <w:r>
        <w:rPr>
          <w:spacing w:val="-12"/>
        </w:rPr>
        <w:t> </w:t>
      </w:r>
      <w:r>
        <w:rPr/>
        <w:t>performance</w:t>
      </w:r>
      <w:r>
        <w:rPr>
          <w:spacing w:val="-7"/>
        </w:rPr>
        <w:t> </w:t>
      </w:r>
      <w:r>
        <w:rPr/>
        <w:t>is</w:t>
      </w:r>
      <w:r>
        <w:rPr>
          <w:spacing w:val="-10"/>
        </w:rPr>
        <w:t> </w:t>
      </w:r>
      <w:r>
        <w:rPr/>
        <w:t>high</w:t>
      </w:r>
      <w:r>
        <w:rPr>
          <w:spacing w:val="-8"/>
        </w:rPr>
        <w:t> </w:t>
      </w:r>
      <w:r>
        <w:rPr/>
        <w:t>in</w:t>
      </w:r>
      <w:r>
        <w:rPr>
          <w:spacing w:val="-11"/>
        </w:rPr>
        <w:t> </w:t>
      </w:r>
      <w:r>
        <w:rPr/>
        <w:t>quality.</w:t>
      </w:r>
      <w:r>
        <w:rPr>
          <w:spacing w:val="35"/>
        </w:rPr>
        <w:t> </w:t>
      </w:r>
      <w:r>
        <w:rPr/>
        <w:t>The</w:t>
      </w:r>
      <w:r>
        <w:rPr>
          <w:spacing w:val="65"/>
        </w:rPr>
        <w:t> </w:t>
      </w:r>
      <w:r>
        <w:rPr/>
        <w:t>candidate</w:t>
      </w:r>
      <w:r>
        <w:rPr>
          <w:spacing w:val="-11"/>
        </w:rPr>
        <w:t> </w:t>
      </w:r>
      <w:r>
        <w:rPr/>
        <w:t>has made valuable contributions to course and/or curriculum</w:t>
      </w:r>
      <w:r>
        <w:rPr>
          <w:spacing w:val="40"/>
        </w:rPr>
        <w:t> </w:t>
      </w:r>
      <w:r>
        <w:rPr/>
        <w:t>development and/or to pedagogy. Contributions are recognized beyond his/her</w:t>
      </w:r>
      <w:r>
        <w:rPr>
          <w:spacing w:val="40"/>
        </w:rPr>
        <w:t> </w:t>
      </w:r>
      <w:r>
        <w:rPr/>
        <w:t>individual course(s). Further evidence of the candidate’s</w:t>
      </w:r>
      <w:r>
        <w:rPr>
          <w:spacing w:val="-1"/>
        </w:rPr>
        <w:t> </w:t>
      </w:r>
      <w:r>
        <w:rPr/>
        <w:t>strong teaching</w:t>
      </w:r>
      <w:r>
        <w:rPr>
          <w:spacing w:val="-3"/>
        </w:rPr>
        <w:t> </w:t>
      </w:r>
      <w:r>
        <w:rPr/>
        <w:t>record stems</w:t>
      </w:r>
      <w:r>
        <w:rPr>
          <w:spacing w:val="-6"/>
        </w:rPr>
        <w:t> </w:t>
      </w:r>
      <w:r>
        <w:rPr/>
        <w:t>from a significant number</w:t>
      </w:r>
      <w:r>
        <w:rPr>
          <w:spacing w:val="-3"/>
        </w:rPr>
        <w:t> </w:t>
      </w:r>
      <w:r>
        <w:rPr/>
        <w:t>of the considerations listed in</w:t>
      </w:r>
      <w:r>
        <w:rPr>
          <w:spacing w:val="40"/>
        </w:rPr>
        <w:t> </w:t>
      </w:r>
      <w:r>
        <w:rPr/>
        <w:t>Section II(C)(2) of this document.</w:t>
      </w:r>
    </w:p>
    <w:p>
      <w:pPr>
        <w:pStyle w:val="BodyText"/>
        <w:spacing w:before="2"/>
      </w:pPr>
    </w:p>
    <w:p>
      <w:pPr>
        <w:pStyle w:val="BodyText"/>
        <w:spacing w:line="237" w:lineRule="auto"/>
        <w:ind w:left="120" w:right="330" w:firstLine="840"/>
      </w:pPr>
      <w:r>
        <w:rPr/>
        <w:t>The Clinical faculty member must demonstrate reflection, evidence of student learning,</w:t>
      </w:r>
      <w:r>
        <w:rPr>
          <w:spacing w:val="-3"/>
        </w:rPr>
        <w:t> </w:t>
      </w:r>
      <w:r>
        <w:rPr/>
        <w:t>impact in a</w:t>
      </w:r>
      <w:r>
        <w:rPr>
          <w:spacing w:val="-3"/>
        </w:rPr>
        <w:t> </w:t>
      </w:r>
      <w:r>
        <w:rPr/>
        <w:t>particular area,</w:t>
      </w:r>
      <w:r>
        <w:rPr>
          <w:spacing w:val="-3"/>
        </w:rPr>
        <w:t> </w:t>
      </w:r>
      <w:r>
        <w:rPr/>
        <w:t>and sustained impact and</w:t>
      </w:r>
      <w:r>
        <w:rPr>
          <w:spacing w:val="-2"/>
        </w:rPr>
        <w:t> </w:t>
      </w:r>
      <w:r>
        <w:rPr/>
        <w:t>leadership,</w:t>
      </w:r>
      <w:r>
        <w:rPr>
          <w:spacing w:val="-3"/>
        </w:rPr>
        <w:t> </w:t>
      </w:r>
      <w:r>
        <w:rPr/>
        <w:t>which must</w:t>
      </w:r>
      <w:r>
        <w:rPr>
          <w:spacing w:val="-2"/>
        </w:rPr>
        <w:t> </w:t>
      </w:r>
      <w:r>
        <w:rPr/>
        <w:t>be broader</w:t>
      </w:r>
      <w:r>
        <w:rPr>
          <w:spacing w:val="-2"/>
        </w:rPr>
        <w:t> </w:t>
      </w:r>
      <w:r>
        <w:rPr/>
        <w:t>in</w:t>
      </w:r>
      <w:r>
        <w:rPr>
          <w:spacing w:val="-1"/>
        </w:rPr>
        <w:t> </w:t>
      </w:r>
      <w:r>
        <w:rPr/>
        <w:t>scope</w:t>
      </w:r>
      <w:r>
        <w:rPr>
          <w:spacing w:val="-4"/>
        </w:rPr>
        <w:t> </w:t>
      </w:r>
      <w:r>
        <w:rPr/>
        <w:t>than</w:t>
      </w:r>
      <w:r>
        <w:rPr>
          <w:spacing w:val="-1"/>
        </w:rPr>
        <w:t> </w:t>
      </w:r>
      <w:r>
        <w:rPr/>
        <w:t>one’s</w:t>
      </w:r>
      <w:r>
        <w:rPr>
          <w:spacing w:val="-3"/>
        </w:rPr>
        <w:t> </w:t>
      </w:r>
      <w:r>
        <w:rPr/>
        <w:t>own</w:t>
      </w:r>
      <w:r>
        <w:rPr>
          <w:spacing w:val="-4"/>
        </w:rPr>
        <w:t> </w:t>
      </w:r>
      <w:r>
        <w:rPr/>
        <w:t>program.</w:t>
      </w:r>
      <w:r>
        <w:rPr>
          <w:spacing w:val="-5"/>
        </w:rPr>
        <w:t> </w:t>
      </w:r>
      <w:r>
        <w:rPr/>
        <w:t>Teaching</w:t>
      </w:r>
      <w:r>
        <w:rPr>
          <w:spacing w:val="-3"/>
        </w:rPr>
        <w:t> </w:t>
      </w:r>
      <w:r>
        <w:rPr/>
        <w:t>leadership</w:t>
      </w:r>
      <w:r>
        <w:rPr>
          <w:spacing w:val="-1"/>
        </w:rPr>
        <w:t> </w:t>
      </w:r>
      <w:r>
        <w:rPr/>
        <w:t>may</w:t>
      </w:r>
      <w:r>
        <w:rPr>
          <w:spacing w:val="-6"/>
        </w:rPr>
        <w:t> </w:t>
      </w:r>
      <w:r>
        <w:rPr/>
        <w:t>focus</w:t>
      </w:r>
      <w:r>
        <w:rPr>
          <w:spacing w:val="-8"/>
        </w:rPr>
        <w:t> </w:t>
      </w:r>
      <w:r>
        <w:rPr/>
        <w:t>primarily</w:t>
      </w:r>
      <w:r>
        <w:rPr>
          <w:spacing w:val="-3"/>
        </w:rPr>
        <w:t> </w:t>
      </w:r>
      <w:r>
        <w:rPr/>
        <w:t>on</w:t>
      </w:r>
      <w:r>
        <w:rPr>
          <w:spacing w:val="-1"/>
        </w:rPr>
        <w:t> </w:t>
      </w:r>
      <w:r>
        <w:rPr/>
        <w:t>an individual path or may leverage activities across multiple paths.</w:t>
      </w:r>
    </w:p>
    <w:p>
      <w:pPr>
        <w:pStyle w:val="BodyText"/>
        <w:spacing w:before="1"/>
        <w:rPr>
          <w:sz w:val="17"/>
        </w:rPr>
      </w:pPr>
      <w:r>
        <w:rPr/>
        <mc:AlternateContent>
          <mc:Choice Requires="wps">
            <w:drawing>
              <wp:anchor distT="0" distB="0" distL="0" distR="0" allowOverlap="1" layoutInCell="1" locked="0" behindDoc="1" simplePos="0" relativeHeight="487592960">
                <wp:simplePos x="0" y="0"/>
                <wp:positionH relativeFrom="page">
                  <wp:posOffset>914400</wp:posOffset>
                </wp:positionH>
                <wp:positionV relativeFrom="paragraph">
                  <wp:posOffset>148016</wp:posOffset>
                </wp:positionV>
                <wp:extent cx="1828800"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1.654843pt;width:144pt;height:.6pt;mso-position-horizontal-relative:page;mso-position-vertical-relative:paragraph;z-index:-15723520;mso-wrap-distance-left:0;mso-wrap-distance-right:0" id="docshape11" filled="true" fillcolor="#000000" stroked="false">
                <v:fill type="solid"/>
                <w10:wrap type="topAndBottom"/>
              </v:rect>
            </w:pict>
          </mc:Fallback>
        </mc:AlternateContent>
      </w:r>
    </w:p>
    <w:p>
      <w:pPr>
        <w:spacing w:before="102"/>
        <w:ind w:left="119" w:right="0" w:firstLine="0"/>
        <w:jc w:val="left"/>
        <w:rPr>
          <w:sz w:val="20"/>
        </w:rPr>
      </w:pPr>
      <w:bookmarkStart w:name="_bookmark11" w:id="27"/>
      <w:bookmarkEnd w:id="27"/>
      <w:r>
        <w:rPr/>
      </w:r>
      <w:r>
        <w:rPr>
          <w:sz w:val="20"/>
          <w:vertAlign w:val="superscript"/>
        </w:rPr>
        <w:t>12</w:t>
      </w:r>
      <w:r>
        <w:rPr>
          <w:sz w:val="20"/>
          <w:vertAlign w:val="baseline"/>
        </w:rPr>
        <w:t> The Indianapolis and Bloomington campuses use slightly different assessment classifications. Bloomington uses Excellent, Very Good, Effective, and Ineffective. Indianapolis uses Excellent, Highly Satisfactory, Satisfactory, and Unsatisfactory.</w:t>
      </w:r>
      <w:r>
        <w:rPr>
          <w:spacing w:val="-4"/>
          <w:sz w:val="20"/>
          <w:vertAlign w:val="baseline"/>
        </w:rPr>
        <w:t> </w:t>
      </w:r>
      <w:r>
        <w:rPr>
          <w:sz w:val="20"/>
          <w:vertAlign w:val="baseline"/>
        </w:rPr>
        <w:t>The</w:t>
      </w:r>
      <w:r>
        <w:rPr>
          <w:spacing w:val="-5"/>
          <w:sz w:val="20"/>
          <w:vertAlign w:val="baseline"/>
        </w:rPr>
        <w:t> </w:t>
      </w:r>
      <w:r>
        <w:rPr>
          <w:sz w:val="20"/>
          <w:vertAlign w:val="baseline"/>
        </w:rPr>
        <w:t>Kelley</w:t>
      </w:r>
      <w:r>
        <w:rPr>
          <w:spacing w:val="-3"/>
          <w:sz w:val="20"/>
          <w:vertAlign w:val="baseline"/>
        </w:rPr>
        <w:t> </w:t>
      </w:r>
      <w:r>
        <w:rPr>
          <w:sz w:val="20"/>
          <w:vertAlign w:val="baseline"/>
        </w:rPr>
        <w:t>School</w:t>
      </w:r>
      <w:r>
        <w:rPr>
          <w:spacing w:val="-4"/>
          <w:sz w:val="20"/>
          <w:vertAlign w:val="baseline"/>
        </w:rPr>
        <w:t> </w:t>
      </w:r>
      <w:r>
        <w:rPr>
          <w:sz w:val="20"/>
          <w:vertAlign w:val="baseline"/>
        </w:rPr>
        <w:t>treats</w:t>
      </w:r>
      <w:r>
        <w:rPr>
          <w:spacing w:val="-3"/>
          <w:sz w:val="20"/>
          <w:vertAlign w:val="baseline"/>
        </w:rPr>
        <w:t> </w:t>
      </w:r>
      <w:r>
        <w:rPr>
          <w:sz w:val="20"/>
          <w:vertAlign w:val="baseline"/>
        </w:rPr>
        <w:t>the</w:t>
      </w:r>
      <w:r>
        <w:rPr>
          <w:spacing w:val="-5"/>
          <w:sz w:val="20"/>
          <w:vertAlign w:val="baseline"/>
        </w:rPr>
        <w:t> </w:t>
      </w:r>
      <w:r>
        <w:rPr>
          <w:sz w:val="20"/>
          <w:vertAlign w:val="baseline"/>
        </w:rPr>
        <w:t>campus</w:t>
      </w:r>
      <w:r>
        <w:rPr>
          <w:spacing w:val="-3"/>
          <w:sz w:val="20"/>
          <w:vertAlign w:val="baseline"/>
        </w:rPr>
        <w:t> </w:t>
      </w:r>
      <w:r>
        <w:rPr>
          <w:sz w:val="20"/>
          <w:vertAlign w:val="baseline"/>
        </w:rPr>
        <w:t>terms</w:t>
      </w:r>
      <w:r>
        <w:rPr>
          <w:spacing w:val="-3"/>
          <w:sz w:val="20"/>
          <w:vertAlign w:val="baseline"/>
        </w:rPr>
        <w:t> </w:t>
      </w:r>
      <w:r>
        <w:rPr>
          <w:sz w:val="20"/>
          <w:vertAlign w:val="baseline"/>
        </w:rPr>
        <w:t>very</w:t>
      </w:r>
      <w:r>
        <w:rPr>
          <w:spacing w:val="-3"/>
          <w:sz w:val="20"/>
          <w:vertAlign w:val="baseline"/>
        </w:rPr>
        <w:t> </w:t>
      </w:r>
      <w:r>
        <w:rPr>
          <w:sz w:val="20"/>
          <w:vertAlign w:val="baseline"/>
        </w:rPr>
        <w:t>good/highly</w:t>
      </w:r>
      <w:r>
        <w:rPr>
          <w:spacing w:val="-3"/>
          <w:sz w:val="20"/>
          <w:vertAlign w:val="baseline"/>
        </w:rPr>
        <w:t> </w:t>
      </w:r>
      <w:r>
        <w:rPr>
          <w:sz w:val="20"/>
          <w:vertAlign w:val="baseline"/>
        </w:rPr>
        <w:t>satisfactory,</w:t>
      </w:r>
      <w:r>
        <w:rPr>
          <w:spacing w:val="-6"/>
          <w:sz w:val="20"/>
          <w:vertAlign w:val="baseline"/>
        </w:rPr>
        <w:t> </w:t>
      </w:r>
      <w:r>
        <w:rPr>
          <w:sz w:val="20"/>
          <w:vertAlign w:val="baseline"/>
        </w:rPr>
        <w:t>effective/satisfactory,</w:t>
      </w:r>
      <w:r>
        <w:rPr>
          <w:spacing w:val="-3"/>
          <w:sz w:val="20"/>
          <w:vertAlign w:val="baseline"/>
        </w:rPr>
        <w:t> </w:t>
      </w:r>
      <w:r>
        <w:rPr>
          <w:sz w:val="20"/>
          <w:vertAlign w:val="baseline"/>
        </w:rPr>
        <w:t>and ineffective/unsatisfactory as equivalent.</w:t>
      </w:r>
    </w:p>
    <w:p>
      <w:pPr>
        <w:spacing w:before="230"/>
        <w:ind w:left="119" w:right="118" w:firstLine="0"/>
        <w:jc w:val="left"/>
        <w:rPr>
          <w:sz w:val="20"/>
        </w:rPr>
      </w:pPr>
      <w:bookmarkStart w:name="_bookmark12" w:id="28"/>
      <w:bookmarkEnd w:id="28"/>
      <w:r>
        <w:rPr/>
      </w:r>
      <w:r>
        <w:rPr>
          <w:rFonts w:ascii="Times New Roman"/>
          <w:position w:val="7"/>
          <w:sz w:val="13"/>
        </w:rPr>
        <w:t>13</w:t>
      </w:r>
      <w:r>
        <w:rPr>
          <w:rFonts w:ascii="Times New Roman"/>
          <w:spacing w:val="28"/>
          <w:position w:val="7"/>
          <w:sz w:val="13"/>
        </w:rPr>
        <w:t> </w:t>
      </w:r>
      <w:r>
        <w:rPr>
          <w:sz w:val="20"/>
        </w:rPr>
        <w:t>Although</w:t>
      </w:r>
      <w:r>
        <w:rPr>
          <w:spacing w:val="-10"/>
          <w:sz w:val="20"/>
        </w:rPr>
        <w:t> </w:t>
      </w:r>
      <w:r>
        <w:rPr>
          <w:sz w:val="20"/>
        </w:rPr>
        <w:t>Indianapolis</w:t>
      </w:r>
      <w:r>
        <w:rPr>
          <w:spacing w:val="-10"/>
          <w:sz w:val="20"/>
        </w:rPr>
        <w:t> </w:t>
      </w:r>
      <w:r>
        <w:rPr>
          <w:sz w:val="20"/>
        </w:rPr>
        <w:t>Campus</w:t>
      </w:r>
      <w:r>
        <w:rPr>
          <w:spacing w:val="-12"/>
          <w:sz w:val="20"/>
        </w:rPr>
        <w:t> </w:t>
      </w:r>
      <w:r>
        <w:rPr>
          <w:sz w:val="20"/>
        </w:rPr>
        <w:t>policy</w:t>
      </w:r>
      <w:r>
        <w:rPr>
          <w:spacing w:val="-10"/>
          <w:sz w:val="20"/>
        </w:rPr>
        <w:t> </w:t>
      </w:r>
      <w:r>
        <w:rPr>
          <w:sz w:val="20"/>
        </w:rPr>
        <w:t>calls</w:t>
      </w:r>
      <w:r>
        <w:rPr>
          <w:spacing w:val="-11"/>
          <w:sz w:val="20"/>
        </w:rPr>
        <w:t> </w:t>
      </w:r>
      <w:r>
        <w:rPr>
          <w:sz w:val="20"/>
        </w:rPr>
        <w:t>for</w:t>
      </w:r>
      <w:r>
        <w:rPr>
          <w:spacing w:val="-12"/>
          <w:sz w:val="20"/>
        </w:rPr>
        <w:t> </w:t>
      </w:r>
      <w:r>
        <w:rPr>
          <w:sz w:val="20"/>
        </w:rPr>
        <w:t>the</w:t>
      </w:r>
      <w:r>
        <w:rPr>
          <w:spacing w:val="77"/>
          <w:sz w:val="20"/>
        </w:rPr>
        <w:t> </w:t>
      </w:r>
      <w:r>
        <w:rPr>
          <w:sz w:val="20"/>
        </w:rPr>
        <w:t>same</w:t>
      </w:r>
      <w:r>
        <w:rPr>
          <w:spacing w:val="-12"/>
          <w:sz w:val="20"/>
        </w:rPr>
        <w:t> </w:t>
      </w:r>
      <w:r>
        <w:rPr>
          <w:sz w:val="20"/>
        </w:rPr>
        <w:t>teaching</w:t>
      </w:r>
      <w:r>
        <w:rPr>
          <w:spacing w:val="-11"/>
          <w:sz w:val="20"/>
        </w:rPr>
        <w:t> </w:t>
      </w:r>
      <w:r>
        <w:rPr>
          <w:sz w:val="20"/>
        </w:rPr>
        <w:t>rating</w:t>
      </w:r>
      <w:r>
        <w:rPr>
          <w:spacing w:val="-11"/>
          <w:sz w:val="20"/>
        </w:rPr>
        <w:t> </w:t>
      </w:r>
      <w:r>
        <w:rPr>
          <w:sz w:val="20"/>
        </w:rPr>
        <w:t>categories</w:t>
      </w:r>
      <w:r>
        <w:rPr>
          <w:spacing w:val="-12"/>
          <w:sz w:val="20"/>
        </w:rPr>
        <w:t> </w:t>
      </w:r>
      <w:r>
        <w:rPr>
          <w:sz w:val="20"/>
        </w:rPr>
        <w:t>(Excellent,</w:t>
      </w:r>
      <w:r>
        <w:rPr>
          <w:spacing w:val="-10"/>
          <w:sz w:val="20"/>
        </w:rPr>
        <w:t> </w:t>
      </w:r>
      <w:r>
        <w:rPr>
          <w:sz w:val="20"/>
        </w:rPr>
        <w:t>Highly</w:t>
      </w:r>
      <w:r>
        <w:rPr>
          <w:spacing w:val="-7"/>
          <w:sz w:val="20"/>
        </w:rPr>
        <w:t> </w:t>
      </w:r>
      <w:r>
        <w:rPr>
          <w:sz w:val="20"/>
        </w:rPr>
        <w:t>Satisfactory, Satisfactory,</w:t>
      </w:r>
      <w:r>
        <w:rPr>
          <w:spacing w:val="-2"/>
          <w:sz w:val="20"/>
        </w:rPr>
        <w:t> </w:t>
      </w:r>
      <w:r>
        <w:rPr>
          <w:sz w:val="20"/>
        </w:rPr>
        <w:t>and</w:t>
      </w:r>
      <w:r>
        <w:rPr>
          <w:spacing w:val="-4"/>
          <w:sz w:val="20"/>
        </w:rPr>
        <w:t> </w:t>
      </w:r>
      <w:r>
        <w:rPr>
          <w:sz w:val="20"/>
        </w:rPr>
        <w:t>Unsatisfactory)</w:t>
      </w:r>
      <w:r>
        <w:rPr>
          <w:spacing w:val="-4"/>
          <w:sz w:val="20"/>
        </w:rPr>
        <w:t> </w:t>
      </w:r>
      <w:r>
        <w:rPr>
          <w:sz w:val="20"/>
        </w:rPr>
        <w:t>to</w:t>
      </w:r>
      <w:r>
        <w:rPr>
          <w:spacing w:val="-5"/>
          <w:sz w:val="20"/>
        </w:rPr>
        <w:t> </w:t>
      </w:r>
      <w:r>
        <w:rPr>
          <w:sz w:val="20"/>
        </w:rPr>
        <w:t>be</w:t>
      </w:r>
      <w:r>
        <w:rPr>
          <w:spacing w:val="-6"/>
          <w:sz w:val="20"/>
        </w:rPr>
        <w:t> </w:t>
      </w:r>
      <w:r>
        <w:rPr>
          <w:sz w:val="20"/>
        </w:rPr>
        <w:t>used</w:t>
      </w:r>
      <w:r>
        <w:rPr>
          <w:spacing w:val="-2"/>
          <w:sz w:val="20"/>
        </w:rPr>
        <w:t> </w:t>
      </w:r>
      <w:r>
        <w:rPr>
          <w:sz w:val="20"/>
        </w:rPr>
        <w:t>in</w:t>
      </w:r>
      <w:r>
        <w:rPr>
          <w:spacing w:val="-2"/>
          <w:sz w:val="20"/>
        </w:rPr>
        <w:t> </w:t>
      </w:r>
      <w:r>
        <w:rPr>
          <w:sz w:val="20"/>
        </w:rPr>
        <w:t>promotion</w:t>
      </w:r>
      <w:r>
        <w:rPr>
          <w:spacing w:val="-4"/>
          <w:sz w:val="20"/>
        </w:rPr>
        <w:t> </w:t>
      </w:r>
      <w:r>
        <w:rPr>
          <w:sz w:val="20"/>
        </w:rPr>
        <w:t>cases</w:t>
      </w:r>
      <w:r>
        <w:rPr>
          <w:spacing w:val="80"/>
          <w:w w:val="150"/>
          <w:sz w:val="20"/>
        </w:rPr>
        <w:t> </w:t>
      </w:r>
      <w:r>
        <w:rPr>
          <w:sz w:val="20"/>
        </w:rPr>
        <w:t>regardless</w:t>
      </w:r>
      <w:r>
        <w:rPr>
          <w:spacing w:val="-6"/>
          <w:sz w:val="20"/>
        </w:rPr>
        <w:t> </w:t>
      </w:r>
      <w:r>
        <w:rPr>
          <w:sz w:val="20"/>
        </w:rPr>
        <w:t>of</w:t>
      </w:r>
      <w:r>
        <w:rPr>
          <w:spacing w:val="-6"/>
          <w:sz w:val="20"/>
        </w:rPr>
        <w:t> </w:t>
      </w:r>
      <w:r>
        <w:rPr>
          <w:sz w:val="20"/>
        </w:rPr>
        <w:t>whether</w:t>
      </w:r>
      <w:r>
        <w:rPr>
          <w:spacing w:val="-5"/>
          <w:sz w:val="20"/>
        </w:rPr>
        <w:t> </w:t>
      </w:r>
      <w:r>
        <w:rPr>
          <w:sz w:val="20"/>
        </w:rPr>
        <w:t>they</w:t>
      </w:r>
      <w:r>
        <w:rPr>
          <w:spacing w:val="-4"/>
          <w:sz w:val="20"/>
        </w:rPr>
        <w:t> </w:t>
      </w:r>
      <w:r>
        <w:rPr>
          <w:sz w:val="20"/>
        </w:rPr>
        <w:t>involve</w:t>
      </w:r>
      <w:r>
        <w:rPr>
          <w:spacing w:val="-6"/>
          <w:sz w:val="20"/>
        </w:rPr>
        <w:t> </w:t>
      </w:r>
      <w:r>
        <w:rPr>
          <w:sz w:val="20"/>
        </w:rPr>
        <w:t>tenure-track </w:t>
      </w:r>
      <w:r>
        <w:rPr>
          <w:spacing w:val="-2"/>
          <w:sz w:val="20"/>
        </w:rPr>
        <w:t>faculty,</w:t>
      </w:r>
      <w:r>
        <w:rPr>
          <w:spacing w:val="-7"/>
          <w:sz w:val="20"/>
        </w:rPr>
        <w:t> </w:t>
      </w:r>
      <w:r>
        <w:rPr>
          <w:spacing w:val="-2"/>
          <w:sz w:val="20"/>
        </w:rPr>
        <w:t>Clinical</w:t>
      </w:r>
      <w:r>
        <w:rPr>
          <w:spacing w:val="-7"/>
          <w:sz w:val="20"/>
        </w:rPr>
        <w:t> </w:t>
      </w:r>
      <w:r>
        <w:rPr>
          <w:spacing w:val="-2"/>
          <w:sz w:val="20"/>
        </w:rPr>
        <w:t>faculty,</w:t>
      </w:r>
      <w:r>
        <w:rPr>
          <w:spacing w:val="-7"/>
          <w:sz w:val="20"/>
        </w:rPr>
        <w:t> </w:t>
      </w:r>
      <w:r>
        <w:rPr>
          <w:spacing w:val="-2"/>
          <w:sz w:val="20"/>
        </w:rPr>
        <w:t>or</w:t>
      </w:r>
      <w:r>
        <w:rPr>
          <w:spacing w:val="-7"/>
          <w:sz w:val="20"/>
        </w:rPr>
        <w:t> </w:t>
      </w:r>
      <w:r>
        <w:rPr>
          <w:spacing w:val="-2"/>
          <w:sz w:val="20"/>
        </w:rPr>
        <w:t>lecturers,</w:t>
      </w:r>
      <w:r>
        <w:rPr>
          <w:spacing w:val="-4"/>
          <w:sz w:val="20"/>
        </w:rPr>
        <w:t> </w:t>
      </w:r>
      <w:r>
        <w:rPr>
          <w:spacing w:val="-2"/>
          <w:sz w:val="20"/>
        </w:rPr>
        <w:t>the</w:t>
      </w:r>
      <w:r>
        <w:rPr>
          <w:spacing w:val="-6"/>
          <w:sz w:val="20"/>
        </w:rPr>
        <w:t> </w:t>
      </w:r>
      <w:r>
        <w:rPr>
          <w:spacing w:val="-2"/>
          <w:sz w:val="20"/>
        </w:rPr>
        <w:t>descriptions</w:t>
      </w:r>
      <w:r>
        <w:rPr>
          <w:spacing w:val="-8"/>
          <w:sz w:val="20"/>
        </w:rPr>
        <w:t> </w:t>
      </w:r>
      <w:r>
        <w:rPr>
          <w:spacing w:val="-2"/>
          <w:sz w:val="20"/>
        </w:rPr>
        <w:t>differ</w:t>
      </w:r>
      <w:r>
        <w:rPr>
          <w:spacing w:val="-10"/>
          <w:sz w:val="20"/>
        </w:rPr>
        <w:t> </w:t>
      </w:r>
      <w:r>
        <w:rPr>
          <w:spacing w:val="-2"/>
          <w:sz w:val="20"/>
        </w:rPr>
        <w:t>and</w:t>
      </w:r>
      <w:r>
        <w:rPr>
          <w:spacing w:val="-9"/>
          <w:sz w:val="20"/>
        </w:rPr>
        <w:t> </w:t>
      </w:r>
      <w:r>
        <w:rPr>
          <w:spacing w:val="-2"/>
          <w:sz w:val="20"/>
        </w:rPr>
        <w:t>the</w:t>
      </w:r>
      <w:r>
        <w:rPr>
          <w:spacing w:val="-10"/>
          <w:sz w:val="20"/>
        </w:rPr>
        <w:t> </w:t>
      </w:r>
      <w:r>
        <w:rPr>
          <w:spacing w:val="-2"/>
          <w:sz w:val="20"/>
        </w:rPr>
        <w:t>promotion</w:t>
      </w:r>
      <w:r>
        <w:rPr>
          <w:spacing w:val="80"/>
          <w:w w:val="150"/>
          <w:sz w:val="20"/>
        </w:rPr>
        <w:t> </w:t>
      </w:r>
      <w:r>
        <w:rPr>
          <w:spacing w:val="-2"/>
          <w:sz w:val="20"/>
        </w:rPr>
        <w:t>context</w:t>
      </w:r>
      <w:r>
        <w:rPr>
          <w:spacing w:val="-7"/>
          <w:sz w:val="20"/>
        </w:rPr>
        <w:t> </w:t>
      </w:r>
      <w:r>
        <w:rPr>
          <w:spacing w:val="-2"/>
          <w:sz w:val="20"/>
        </w:rPr>
        <w:t>(faculty</w:t>
      </w:r>
      <w:r>
        <w:rPr>
          <w:spacing w:val="-13"/>
          <w:sz w:val="20"/>
        </w:rPr>
        <w:t> </w:t>
      </w:r>
      <w:r>
        <w:rPr>
          <w:spacing w:val="-2"/>
          <w:sz w:val="20"/>
        </w:rPr>
        <w:t>rank)</w:t>
      </w:r>
      <w:r>
        <w:rPr>
          <w:spacing w:val="-12"/>
          <w:sz w:val="20"/>
        </w:rPr>
        <w:t> </w:t>
      </w:r>
      <w:r>
        <w:rPr>
          <w:spacing w:val="-2"/>
          <w:sz w:val="20"/>
        </w:rPr>
        <w:t>influences</w:t>
      </w:r>
      <w:r>
        <w:rPr>
          <w:spacing w:val="-3"/>
          <w:sz w:val="20"/>
        </w:rPr>
        <w:t> </w:t>
      </w:r>
      <w:r>
        <w:rPr>
          <w:spacing w:val="-2"/>
          <w:sz w:val="20"/>
        </w:rPr>
        <w:t>what </w:t>
      </w:r>
      <w:r>
        <w:rPr>
          <w:sz w:val="20"/>
        </w:rPr>
        <w:t>may or</w:t>
      </w:r>
      <w:r>
        <w:rPr>
          <w:spacing w:val="-1"/>
          <w:sz w:val="20"/>
        </w:rPr>
        <w:t> </w:t>
      </w:r>
      <w:r>
        <w:rPr>
          <w:sz w:val="20"/>
        </w:rPr>
        <w:t>must be</w:t>
      </w:r>
      <w:r>
        <w:rPr>
          <w:spacing w:val="-7"/>
          <w:sz w:val="20"/>
        </w:rPr>
        <w:t> </w:t>
      </w:r>
      <w:r>
        <w:rPr>
          <w:sz w:val="20"/>
        </w:rPr>
        <w:t>considered in</w:t>
      </w:r>
      <w:r>
        <w:rPr>
          <w:spacing w:val="-2"/>
          <w:sz w:val="20"/>
        </w:rPr>
        <w:t> </w:t>
      </w:r>
      <w:r>
        <w:rPr>
          <w:sz w:val="20"/>
        </w:rPr>
        <w:t>a determination of</w:t>
      </w:r>
      <w:r>
        <w:rPr>
          <w:spacing w:val="-4"/>
          <w:sz w:val="20"/>
        </w:rPr>
        <w:t> </w:t>
      </w:r>
      <w:r>
        <w:rPr>
          <w:sz w:val="20"/>
        </w:rPr>
        <w:t>whether</w:t>
      </w:r>
      <w:r>
        <w:rPr>
          <w:spacing w:val="-1"/>
          <w:sz w:val="20"/>
        </w:rPr>
        <w:t> </w:t>
      </w:r>
      <w:r>
        <w:rPr>
          <w:sz w:val="20"/>
        </w:rPr>
        <w:t>a certain</w:t>
      </w:r>
      <w:r>
        <w:rPr>
          <w:spacing w:val="-3"/>
          <w:sz w:val="20"/>
        </w:rPr>
        <w:t> </w:t>
      </w:r>
      <w:r>
        <w:rPr>
          <w:sz w:val="20"/>
        </w:rPr>
        <w:t>rating</w:t>
      </w:r>
      <w:r>
        <w:rPr>
          <w:spacing w:val="-3"/>
          <w:sz w:val="20"/>
        </w:rPr>
        <w:t> </w:t>
      </w:r>
      <w:r>
        <w:rPr>
          <w:sz w:val="20"/>
        </w:rPr>
        <w:t>is</w:t>
      </w:r>
      <w:r>
        <w:rPr>
          <w:spacing w:val="80"/>
          <w:sz w:val="20"/>
        </w:rPr>
        <w:t> </w:t>
      </w:r>
      <w:r>
        <w:rPr>
          <w:sz w:val="20"/>
        </w:rPr>
        <w:t>warranted.</w:t>
      </w:r>
    </w:p>
    <w:p>
      <w:pPr>
        <w:spacing w:after="0"/>
        <w:jc w:val="left"/>
        <w:rPr>
          <w:sz w:val="20"/>
        </w:rPr>
        <w:sectPr>
          <w:pgSz w:w="12240" w:h="15840"/>
          <w:pgMar w:header="0" w:footer="1712" w:top="1400" w:bottom="1980" w:left="1320" w:right="1180"/>
        </w:sectPr>
      </w:pPr>
    </w:p>
    <w:p>
      <w:pPr>
        <w:pStyle w:val="BodyText"/>
        <w:spacing w:line="237" w:lineRule="auto" w:before="29"/>
        <w:ind w:left="119" w:right="700" w:firstLine="840"/>
      </w:pPr>
      <w:r>
        <w:rPr/>
        <w:t>For promotion to Associate Clinical Professor, the candidate is establishing a position of leadership in the practice and study of teaching. Thus, while important to the decision,</w:t>
      </w:r>
      <w:r>
        <w:rPr>
          <w:spacing w:val="-4"/>
        </w:rPr>
        <w:t> </w:t>
      </w:r>
      <w:r>
        <w:rPr/>
        <w:t>it</w:t>
      </w:r>
      <w:r>
        <w:rPr>
          <w:spacing w:val="-3"/>
        </w:rPr>
        <w:t> </w:t>
      </w:r>
      <w:r>
        <w:rPr/>
        <w:t>is</w:t>
      </w:r>
      <w:r>
        <w:rPr>
          <w:spacing w:val="-2"/>
        </w:rPr>
        <w:t> </w:t>
      </w:r>
      <w:r>
        <w:rPr/>
        <w:t>not sufficient</w:t>
      </w:r>
      <w:r>
        <w:rPr>
          <w:spacing w:val="-3"/>
        </w:rPr>
        <w:t> </w:t>
      </w:r>
      <w:r>
        <w:rPr/>
        <w:t>for</w:t>
      </w:r>
      <w:r>
        <w:rPr>
          <w:spacing w:val="-4"/>
        </w:rPr>
        <w:t> </w:t>
      </w:r>
      <w:r>
        <w:rPr/>
        <w:t>a</w:t>
      </w:r>
      <w:r>
        <w:rPr>
          <w:spacing w:val="-1"/>
        </w:rPr>
        <w:t> </w:t>
      </w:r>
      <w:r>
        <w:rPr/>
        <w:t>candidate</w:t>
      </w:r>
      <w:r>
        <w:rPr>
          <w:spacing w:val="-3"/>
        </w:rPr>
        <w:t> </w:t>
      </w:r>
      <w:r>
        <w:rPr/>
        <w:t>only</w:t>
      </w:r>
      <w:r>
        <w:rPr>
          <w:spacing w:val="-5"/>
        </w:rPr>
        <w:t> </w:t>
      </w:r>
      <w:r>
        <w:rPr/>
        <w:t>to</w:t>
      </w:r>
      <w:r>
        <w:rPr>
          <w:spacing w:val="-1"/>
        </w:rPr>
        <w:t> </w:t>
      </w:r>
      <w:r>
        <w:rPr/>
        <w:t>demonstrate</w:t>
      </w:r>
      <w:r>
        <w:rPr>
          <w:spacing w:val="-1"/>
        </w:rPr>
        <w:t> </w:t>
      </w:r>
      <w:r>
        <w:rPr/>
        <w:t>teaching</w:t>
      </w:r>
      <w:r>
        <w:rPr>
          <w:spacing w:val="-7"/>
        </w:rPr>
        <w:t> </w:t>
      </w:r>
      <w:r>
        <w:rPr/>
        <w:t>excellence</w:t>
      </w:r>
      <w:r>
        <w:rPr>
          <w:spacing w:val="-3"/>
        </w:rPr>
        <w:t> </w:t>
      </w:r>
      <w:r>
        <w:rPr/>
        <w:t>within Indiana University. Indicators of leadership may include published instructional and disciplinary materials (e.g., articles, textbooks, cases, grants, and similar materials), pedagogical publications, and presentations at disciplinary and pedagogical conferences. Quality academic and/or professional peer-reviewed scholarship is required for achieving an excellent rating. Dissemination to others is further defined in Appendix 2.</w:t>
      </w:r>
    </w:p>
    <w:p>
      <w:pPr>
        <w:pStyle w:val="BodyText"/>
        <w:spacing w:before="8"/>
      </w:pPr>
    </w:p>
    <w:p>
      <w:pPr>
        <w:pStyle w:val="BodyText"/>
        <w:ind w:left="119" w:right="118" w:firstLine="840"/>
      </w:pPr>
      <w:r>
        <w:rPr/>
        <w:t>For promotion to Clinical Professor, the candidate has established a position of leadership</w:t>
      </w:r>
      <w:r>
        <w:rPr>
          <w:spacing w:val="-4"/>
        </w:rPr>
        <w:t> </w:t>
      </w:r>
      <w:r>
        <w:rPr/>
        <w:t>in</w:t>
      </w:r>
      <w:r>
        <w:rPr>
          <w:spacing w:val="-4"/>
        </w:rPr>
        <w:t> </w:t>
      </w:r>
      <w:r>
        <w:rPr/>
        <w:t>the</w:t>
      </w:r>
      <w:r>
        <w:rPr>
          <w:spacing w:val="-2"/>
        </w:rPr>
        <w:t> </w:t>
      </w:r>
      <w:r>
        <w:rPr/>
        <w:t>practice</w:t>
      </w:r>
      <w:r>
        <w:rPr>
          <w:spacing w:val="-2"/>
        </w:rPr>
        <w:t> </w:t>
      </w:r>
      <w:r>
        <w:rPr/>
        <w:t>and</w:t>
      </w:r>
      <w:r>
        <w:rPr>
          <w:spacing w:val="-1"/>
        </w:rPr>
        <w:t> </w:t>
      </w:r>
      <w:r>
        <w:rPr/>
        <w:t>study</w:t>
      </w:r>
      <w:r>
        <w:rPr>
          <w:spacing w:val="-5"/>
        </w:rPr>
        <w:t> </w:t>
      </w:r>
      <w:r>
        <w:rPr/>
        <w:t>of</w:t>
      </w:r>
      <w:r>
        <w:rPr>
          <w:spacing w:val="-4"/>
        </w:rPr>
        <w:t> </w:t>
      </w:r>
      <w:r>
        <w:rPr/>
        <w:t>teaching.</w:t>
      </w:r>
      <w:r>
        <w:rPr>
          <w:spacing w:val="-5"/>
        </w:rPr>
        <w:t> </w:t>
      </w:r>
      <w:r>
        <w:rPr/>
        <w:t>Dissemination</w:t>
      </w:r>
      <w:r>
        <w:rPr>
          <w:spacing w:val="-1"/>
        </w:rPr>
        <w:t> </w:t>
      </w:r>
      <w:r>
        <w:rPr/>
        <w:t>to</w:t>
      </w:r>
      <w:r>
        <w:rPr>
          <w:spacing w:val="-2"/>
        </w:rPr>
        <w:t> </w:t>
      </w:r>
      <w:r>
        <w:rPr/>
        <w:t>others</w:t>
      </w:r>
      <w:r>
        <w:rPr>
          <w:spacing w:val="-3"/>
        </w:rPr>
        <w:t> </w:t>
      </w:r>
      <w:r>
        <w:rPr/>
        <w:t>is</w:t>
      </w:r>
      <w:r>
        <w:rPr>
          <w:spacing w:val="-3"/>
        </w:rPr>
        <w:t> </w:t>
      </w:r>
      <w:r>
        <w:rPr/>
        <w:t>further</w:t>
      </w:r>
      <w:r>
        <w:rPr>
          <w:spacing w:val="-5"/>
        </w:rPr>
        <w:t> </w:t>
      </w:r>
      <w:r>
        <w:rPr/>
        <w:t>defined</w:t>
      </w:r>
      <w:r>
        <w:rPr>
          <w:spacing w:val="-4"/>
        </w:rPr>
        <w:t> </w:t>
      </w:r>
      <w:r>
        <w:rPr/>
        <w:t>in Appendix 2.</w:t>
      </w:r>
    </w:p>
    <w:p>
      <w:pPr>
        <w:pStyle w:val="BodyText"/>
        <w:spacing w:before="2"/>
      </w:pPr>
    </w:p>
    <w:p>
      <w:pPr>
        <w:pStyle w:val="BodyText"/>
        <w:ind w:left="119" w:right="330" w:firstLine="840"/>
      </w:pPr>
      <w:r>
        <w:rPr>
          <w:b/>
          <w:i/>
        </w:rPr>
        <w:t>Highly</w:t>
      </w:r>
      <w:r>
        <w:rPr>
          <w:b/>
          <w:i/>
          <w:spacing w:val="-1"/>
        </w:rPr>
        <w:t> </w:t>
      </w:r>
      <w:r>
        <w:rPr>
          <w:b/>
          <w:i/>
        </w:rPr>
        <w:t>Satisfactory.</w:t>
      </w:r>
      <w:r>
        <w:rPr>
          <w:b/>
          <w:i/>
          <w:spacing w:val="40"/>
        </w:rPr>
        <w:t> </w:t>
      </w:r>
      <w:r>
        <w:rPr/>
        <w:t>The</w:t>
      </w:r>
      <w:r>
        <w:rPr>
          <w:spacing w:val="-3"/>
        </w:rPr>
        <w:t> </w:t>
      </w:r>
      <w:r>
        <w:rPr/>
        <w:t>candidate</w:t>
      </w:r>
      <w:r>
        <w:rPr>
          <w:spacing w:val="-3"/>
        </w:rPr>
        <w:t> </w:t>
      </w:r>
      <w:r>
        <w:rPr/>
        <w:t>has</w:t>
      </w:r>
      <w:r>
        <w:rPr>
          <w:spacing w:val="-1"/>
        </w:rPr>
        <w:t> </w:t>
      </w:r>
      <w:r>
        <w:rPr/>
        <w:t>carried an</w:t>
      </w:r>
      <w:r>
        <w:rPr>
          <w:spacing w:val="-2"/>
        </w:rPr>
        <w:t> </w:t>
      </w:r>
      <w:r>
        <w:rPr/>
        <w:t>appropriate</w:t>
      </w:r>
      <w:r>
        <w:rPr>
          <w:spacing w:val="-6"/>
        </w:rPr>
        <w:t> </w:t>
      </w:r>
      <w:r>
        <w:rPr/>
        <w:t>teaching</w:t>
      </w:r>
      <w:r>
        <w:rPr>
          <w:spacing w:val="-1"/>
        </w:rPr>
        <w:t> </w:t>
      </w:r>
      <w:r>
        <w:rPr/>
        <w:t>load</w:t>
      </w:r>
      <w:r>
        <w:rPr>
          <w:spacing w:val="-2"/>
        </w:rPr>
        <w:t> </w:t>
      </w:r>
      <w:r>
        <w:rPr/>
        <w:t>as</w:t>
      </w:r>
      <w:r>
        <w:rPr>
          <w:spacing w:val="40"/>
        </w:rPr>
        <w:t> </w:t>
      </w:r>
      <w:r>
        <w:rPr/>
        <w:t>noted above</w:t>
      </w:r>
      <w:r>
        <w:rPr>
          <w:spacing w:val="-4"/>
        </w:rPr>
        <w:t> </w:t>
      </w:r>
      <w:r>
        <w:rPr/>
        <w:t>(number</w:t>
      </w:r>
      <w:r>
        <w:rPr>
          <w:spacing w:val="-4"/>
        </w:rPr>
        <w:t> </w:t>
      </w:r>
      <w:r>
        <w:rPr/>
        <w:t>of</w:t>
      </w:r>
      <w:r>
        <w:rPr>
          <w:spacing w:val="-6"/>
        </w:rPr>
        <w:t> </w:t>
      </w:r>
      <w:r>
        <w:rPr/>
        <w:t>courses/sections</w:t>
      </w:r>
      <w:r>
        <w:rPr>
          <w:spacing w:val="-7"/>
        </w:rPr>
        <w:t> </w:t>
      </w:r>
      <w:r>
        <w:rPr/>
        <w:t>taught,</w:t>
      </w:r>
      <w:r>
        <w:rPr>
          <w:spacing w:val="-7"/>
        </w:rPr>
        <w:t> </w:t>
      </w:r>
      <w:r>
        <w:rPr/>
        <w:t>course</w:t>
      </w:r>
      <w:r>
        <w:rPr>
          <w:spacing w:val="-1"/>
        </w:rPr>
        <w:t> </w:t>
      </w:r>
      <w:r>
        <w:rPr/>
        <w:t>sizes,</w:t>
      </w:r>
      <w:r>
        <w:rPr>
          <w:spacing w:val="-4"/>
        </w:rPr>
        <w:t> </w:t>
      </w:r>
      <w:r>
        <w:rPr/>
        <w:t>and</w:t>
      </w:r>
      <w:r>
        <w:rPr>
          <w:spacing w:val="-3"/>
        </w:rPr>
        <w:t> </w:t>
      </w:r>
      <w:r>
        <w:rPr/>
        <w:t>willingness</w:t>
      </w:r>
      <w:r>
        <w:rPr>
          <w:spacing w:val="-5"/>
        </w:rPr>
        <w:t> </w:t>
      </w:r>
      <w:r>
        <w:rPr/>
        <w:t>to</w:t>
      </w:r>
      <w:r>
        <w:rPr>
          <w:spacing w:val="40"/>
        </w:rPr>
        <w:t> </w:t>
      </w:r>
      <w:r>
        <w:rPr/>
        <w:t>teach</w:t>
      </w:r>
      <w:r>
        <w:rPr>
          <w:spacing w:val="-6"/>
        </w:rPr>
        <w:t> </w:t>
      </w:r>
      <w:r>
        <w:rPr/>
        <w:t>new</w:t>
      </w:r>
      <w:r>
        <w:rPr>
          <w:spacing w:val="-3"/>
        </w:rPr>
        <w:t> </w:t>
      </w:r>
      <w:r>
        <w:rPr/>
        <w:t>courses, as</w:t>
      </w:r>
      <w:r>
        <w:rPr>
          <w:spacing w:val="-7"/>
        </w:rPr>
        <w:t> </w:t>
      </w:r>
      <w:r>
        <w:rPr/>
        <w:t>needed)</w:t>
      </w:r>
      <w:r>
        <w:rPr>
          <w:spacing w:val="-5"/>
        </w:rPr>
        <w:t> </w:t>
      </w:r>
      <w:r>
        <w:rPr/>
        <w:t>and</w:t>
      </w:r>
      <w:r>
        <w:rPr>
          <w:spacing w:val="-3"/>
        </w:rPr>
        <w:t> </w:t>
      </w:r>
      <w:r>
        <w:rPr/>
        <w:t>teaching</w:t>
      </w:r>
      <w:r>
        <w:rPr>
          <w:spacing w:val="-4"/>
        </w:rPr>
        <w:t> </w:t>
      </w:r>
      <w:r>
        <w:rPr/>
        <w:t>contributions</w:t>
      </w:r>
      <w:r>
        <w:rPr>
          <w:spacing w:val="-4"/>
        </w:rPr>
        <w:t> </w:t>
      </w:r>
      <w:r>
        <w:rPr/>
        <w:t>support</w:t>
      </w:r>
      <w:r>
        <w:rPr>
          <w:spacing w:val="-3"/>
        </w:rPr>
        <w:t> </w:t>
      </w:r>
      <w:r>
        <w:rPr/>
        <w:t>the</w:t>
      </w:r>
      <w:r>
        <w:rPr>
          <w:spacing w:val="-2"/>
        </w:rPr>
        <w:t> </w:t>
      </w:r>
      <w:r>
        <w:rPr/>
        <w:t>School’s</w:t>
      </w:r>
      <w:r>
        <w:rPr>
          <w:spacing w:val="-4"/>
        </w:rPr>
        <w:t> </w:t>
      </w:r>
      <w:r>
        <w:rPr/>
        <w:t>teaching</w:t>
      </w:r>
      <w:r>
        <w:rPr>
          <w:spacing w:val="-4"/>
        </w:rPr>
        <w:t> </w:t>
      </w:r>
      <w:r>
        <w:rPr/>
        <w:t>mission,</w:t>
      </w:r>
      <w:r>
        <w:rPr>
          <w:spacing w:val="-2"/>
        </w:rPr>
        <w:t> </w:t>
      </w:r>
      <w:r>
        <w:rPr/>
        <w:t>values</w:t>
      </w:r>
      <w:r>
        <w:rPr>
          <w:spacing w:val="-3"/>
        </w:rPr>
        <w:t> </w:t>
      </w:r>
      <w:r>
        <w:rPr/>
        <w:t>and</w:t>
      </w:r>
      <w:r>
        <w:rPr>
          <w:spacing w:val="-3"/>
        </w:rPr>
        <w:t> </w:t>
      </w:r>
      <w:r>
        <w:rPr/>
        <w:t>goals. The</w:t>
      </w:r>
      <w:r>
        <w:rPr>
          <w:spacing w:val="-9"/>
        </w:rPr>
        <w:t> </w:t>
      </w:r>
      <w:r>
        <w:rPr/>
        <w:t>results</w:t>
      </w:r>
      <w:r>
        <w:rPr>
          <w:spacing w:val="-10"/>
        </w:rPr>
        <w:t> </w:t>
      </w:r>
      <w:r>
        <w:rPr/>
        <w:t>obtained</w:t>
      </w:r>
      <w:r>
        <w:rPr>
          <w:spacing w:val="-11"/>
        </w:rPr>
        <w:t> </w:t>
      </w:r>
      <w:r>
        <w:rPr/>
        <w:t>from</w:t>
      </w:r>
      <w:r>
        <w:rPr>
          <w:spacing w:val="-7"/>
        </w:rPr>
        <w:t> </w:t>
      </w:r>
      <w:r>
        <w:rPr/>
        <w:t>student</w:t>
      </w:r>
      <w:r>
        <w:rPr>
          <w:spacing w:val="-11"/>
        </w:rPr>
        <w:t> </w:t>
      </w:r>
      <w:r>
        <w:rPr/>
        <w:t>evaluation</w:t>
      </w:r>
      <w:r>
        <w:rPr>
          <w:spacing w:val="40"/>
        </w:rPr>
        <w:t> </w:t>
      </w:r>
      <w:r>
        <w:rPr/>
        <w:t>instruments</w:t>
      </w:r>
      <w:r>
        <w:rPr>
          <w:spacing w:val="-8"/>
        </w:rPr>
        <w:t> </w:t>
      </w:r>
      <w:r>
        <w:rPr/>
        <w:t>(the</w:t>
      </w:r>
      <w:r>
        <w:rPr>
          <w:spacing w:val="-11"/>
        </w:rPr>
        <w:t> </w:t>
      </w:r>
      <w:r>
        <w:rPr/>
        <w:t>numerically</w:t>
      </w:r>
      <w:r>
        <w:rPr>
          <w:spacing w:val="-9"/>
        </w:rPr>
        <w:t> </w:t>
      </w:r>
      <w:r>
        <w:rPr/>
        <w:t>scored</w:t>
      </w:r>
      <w:r>
        <w:rPr>
          <w:spacing w:val="-9"/>
        </w:rPr>
        <w:t> </w:t>
      </w:r>
      <w:r>
        <w:rPr/>
        <w:t>questions</w:t>
      </w:r>
      <w:r>
        <w:rPr>
          <w:spacing w:val="-10"/>
        </w:rPr>
        <w:t> </w:t>
      </w:r>
      <w:r>
        <w:rPr/>
        <w:t>as well as</w:t>
      </w:r>
      <w:r>
        <w:rPr>
          <w:spacing w:val="-2"/>
        </w:rPr>
        <w:t> </w:t>
      </w:r>
      <w:r>
        <w:rPr/>
        <w:t>the open-ended</w:t>
      </w:r>
      <w:r>
        <w:rPr>
          <w:spacing w:val="-3"/>
        </w:rPr>
        <w:t> </w:t>
      </w:r>
      <w:r>
        <w:rPr/>
        <w:t>questions</w:t>
      </w:r>
      <w:r>
        <w:rPr>
          <w:spacing w:val="80"/>
        </w:rPr>
        <w:t> </w:t>
      </w:r>
      <w:r>
        <w:rPr/>
        <w:t>calling</w:t>
      </w:r>
      <w:r>
        <w:rPr>
          <w:spacing w:val="-2"/>
        </w:rPr>
        <w:t> </w:t>
      </w:r>
      <w:r>
        <w:rPr/>
        <w:t>for narrative responses) suggest that the candidate, though not an</w:t>
      </w:r>
      <w:r>
        <w:rPr>
          <w:spacing w:val="40"/>
        </w:rPr>
        <w:t> </w:t>
      </w:r>
      <w:r>
        <w:rPr/>
        <w:t>outstanding instructor, fulfills the candidate’s teaching</w:t>
      </w:r>
      <w:r>
        <w:rPr>
          <w:spacing w:val="-1"/>
        </w:rPr>
        <w:t> </w:t>
      </w:r>
      <w:r>
        <w:rPr/>
        <w:t>responsibilities well.</w:t>
      </w:r>
    </w:p>
    <w:p>
      <w:pPr>
        <w:pStyle w:val="BodyText"/>
        <w:spacing w:before="1"/>
        <w:ind w:left="119" w:right="263"/>
      </w:pPr>
      <w:r>
        <w:rPr/>
        <w:t>Unsolicited</w:t>
      </w:r>
      <w:r>
        <w:rPr>
          <w:spacing w:val="40"/>
        </w:rPr>
        <w:t> </w:t>
      </w:r>
      <w:r>
        <w:rPr/>
        <w:t>student</w:t>
      </w:r>
      <w:r>
        <w:rPr>
          <w:spacing w:val="-1"/>
        </w:rPr>
        <w:t> </w:t>
      </w:r>
      <w:r>
        <w:rPr/>
        <w:t>letters express, or other</w:t>
      </w:r>
      <w:r>
        <w:rPr>
          <w:spacing w:val="-2"/>
        </w:rPr>
        <w:t> </w:t>
      </w:r>
      <w:r>
        <w:rPr/>
        <w:t>similar indications suggest, that students</w:t>
      </w:r>
      <w:r>
        <w:rPr>
          <w:spacing w:val="-4"/>
        </w:rPr>
        <w:t> </w:t>
      </w:r>
      <w:r>
        <w:rPr/>
        <w:t>hold a favorable</w:t>
      </w:r>
      <w:r>
        <w:rPr>
          <w:spacing w:val="-11"/>
        </w:rPr>
        <w:t> </w:t>
      </w:r>
      <w:r>
        <w:rPr/>
        <w:t>view</w:t>
      </w:r>
      <w:r>
        <w:rPr>
          <w:spacing w:val="-11"/>
        </w:rPr>
        <w:t> </w:t>
      </w:r>
      <w:r>
        <w:rPr/>
        <w:t>of</w:t>
      </w:r>
      <w:r>
        <w:rPr>
          <w:spacing w:val="-12"/>
        </w:rPr>
        <w:t> </w:t>
      </w:r>
      <w:r>
        <w:rPr/>
        <w:t>the</w:t>
      </w:r>
      <w:r>
        <w:rPr>
          <w:spacing w:val="-10"/>
        </w:rPr>
        <w:t> </w:t>
      </w:r>
      <w:r>
        <w:rPr/>
        <w:t>candidate’s</w:t>
      </w:r>
      <w:r>
        <w:rPr>
          <w:spacing w:val="-13"/>
        </w:rPr>
        <w:t> </w:t>
      </w:r>
      <w:r>
        <w:rPr/>
        <w:t>teaching.</w:t>
      </w:r>
      <w:r>
        <w:rPr>
          <w:spacing w:val="32"/>
        </w:rPr>
        <w:t> </w:t>
      </w:r>
      <w:r>
        <w:rPr/>
        <w:t>Peer</w:t>
      </w:r>
      <w:r>
        <w:rPr>
          <w:spacing w:val="-12"/>
        </w:rPr>
        <w:t> </w:t>
      </w:r>
      <w:r>
        <w:rPr/>
        <w:t>evaluations</w:t>
      </w:r>
      <w:r>
        <w:rPr>
          <w:spacing w:val="-11"/>
        </w:rPr>
        <w:t> </w:t>
      </w:r>
      <w:r>
        <w:rPr/>
        <w:t>by</w:t>
      </w:r>
      <w:r>
        <w:rPr>
          <w:spacing w:val="-14"/>
        </w:rPr>
        <w:t> </w:t>
      </w:r>
      <w:r>
        <w:rPr/>
        <w:t>faculty</w:t>
      </w:r>
      <w:r>
        <w:rPr>
          <w:spacing w:val="-10"/>
        </w:rPr>
        <w:t> </w:t>
      </w:r>
      <w:r>
        <w:rPr/>
        <w:t>colleagues</w:t>
      </w:r>
      <w:r>
        <w:rPr>
          <w:spacing w:val="80"/>
        </w:rPr>
        <w:t> </w:t>
      </w:r>
      <w:r>
        <w:rPr/>
        <w:t>also</w:t>
      </w:r>
      <w:r>
        <w:rPr>
          <w:spacing w:val="-10"/>
        </w:rPr>
        <w:t> </w:t>
      </w:r>
      <w:r>
        <w:rPr/>
        <w:t>view</w:t>
      </w:r>
      <w:r>
        <w:rPr>
          <w:spacing w:val="-12"/>
        </w:rPr>
        <w:t> </w:t>
      </w:r>
      <w:r>
        <w:rPr/>
        <w:t>the candidate’s</w:t>
      </w:r>
      <w:r>
        <w:rPr>
          <w:spacing w:val="-1"/>
        </w:rPr>
        <w:t> </w:t>
      </w:r>
      <w:r>
        <w:rPr/>
        <w:t>teaching</w:t>
      </w:r>
      <w:r>
        <w:rPr>
          <w:spacing w:val="-1"/>
        </w:rPr>
        <w:t> </w:t>
      </w:r>
      <w:r>
        <w:rPr/>
        <w:t>favorably. The candidate has made contributions</w:t>
      </w:r>
      <w:r>
        <w:rPr>
          <w:spacing w:val="80"/>
        </w:rPr>
        <w:t> </w:t>
      </w:r>
      <w:r>
        <w:rPr/>
        <w:t>to course and/or curriculum</w:t>
      </w:r>
      <w:r>
        <w:rPr>
          <w:spacing w:val="-1"/>
        </w:rPr>
        <w:t> </w:t>
      </w:r>
      <w:r>
        <w:rPr/>
        <w:t>development and/or</w:t>
      </w:r>
      <w:r>
        <w:rPr>
          <w:spacing w:val="-3"/>
        </w:rPr>
        <w:t> </w:t>
      </w:r>
      <w:r>
        <w:rPr/>
        <w:t>to</w:t>
      </w:r>
      <w:r>
        <w:rPr>
          <w:spacing w:val="-3"/>
        </w:rPr>
        <w:t> </w:t>
      </w:r>
      <w:r>
        <w:rPr/>
        <w:t>pedagogy.</w:t>
      </w:r>
      <w:r>
        <w:rPr>
          <w:spacing w:val="-2"/>
        </w:rPr>
        <w:t> </w:t>
      </w:r>
      <w:r>
        <w:rPr/>
        <w:t>A significant number</w:t>
      </w:r>
      <w:r>
        <w:rPr>
          <w:spacing w:val="40"/>
        </w:rPr>
        <w:t> </w:t>
      </w:r>
      <w:r>
        <w:rPr/>
        <w:t>of the</w:t>
      </w:r>
      <w:r>
        <w:rPr>
          <w:spacing w:val="-3"/>
        </w:rPr>
        <w:t> </w:t>
      </w:r>
      <w:r>
        <w:rPr/>
        <w:t>considerations</w:t>
      </w:r>
      <w:r>
        <w:rPr>
          <w:spacing w:val="-4"/>
        </w:rPr>
        <w:t> </w:t>
      </w:r>
      <w:r>
        <w:rPr/>
        <w:t>listed in Section II(C)(3)</w:t>
      </w:r>
      <w:r>
        <w:rPr>
          <w:spacing w:val="-1"/>
        </w:rPr>
        <w:t> </w:t>
      </w:r>
      <w:r>
        <w:rPr/>
        <w:t>of this</w:t>
      </w:r>
      <w:r>
        <w:rPr>
          <w:spacing w:val="-3"/>
        </w:rPr>
        <w:t> </w:t>
      </w:r>
      <w:r>
        <w:rPr/>
        <w:t>document indicate that the</w:t>
      </w:r>
      <w:r>
        <w:rPr>
          <w:spacing w:val="80"/>
        </w:rPr>
        <w:t> </w:t>
      </w:r>
      <w:r>
        <w:rPr/>
        <w:t>candidate is</w:t>
      </w:r>
      <w:r>
        <w:rPr>
          <w:spacing w:val="-3"/>
        </w:rPr>
        <w:t> </w:t>
      </w:r>
      <w:r>
        <w:rPr/>
        <w:t>performing</w:t>
      </w:r>
      <w:r>
        <w:rPr>
          <w:spacing w:val="-3"/>
        </w:rPr>
        <w:t> </w:t>
      </w:r>
      <w:r>
        <w:rPr/>
        <w:t>well in</w:t>
      </w:r>
      <w:r>
        <w:rPr>
          <w:spacing w:val="-2"/>
        </w:rPr>
        <w:t> </w:t>
      </w:r>
      <w:r>
        <w:rPr/>
        <w:t>teaching, though not at the level of being</w:t>
      </w:r>
      <w:r>
        <w:rPr>
          <w:spacing w:val="40"/>
        </w:rPr>
        <w:t> </w:t>
      </w:r>
      <w:r>
        <w:rPr/>
        <w:t>outstanding.</w:t>
      </w:r>
    </w:p>
    <w:p>
      <w:pPr>
        <w:pStyle w:val="BodyText"/>
        <w:spacing w:line="237" w:lineRule="auto" w:before="292"/>
        <w:ind w:left="120" w:right="1091" w:firstLine="840"/>
      </w:pPr>
      <w:r>
        <w:rPr/>
        <w:t>For</w:t>
      </w:r>
      <w:r>
        <w:rPr>
          <w:spacing w:val="-3"/>
        </w:rPr>
        <w:t> </w:t>
      </w:r>
      <w:r>
        <w:rPr/>
        <w:t>promotion</w:t>
      </w:r>
      <w:r>
        <w:rPr>
          <w:spacing w:val="-4"/>
        </w:rPr>
        <w:t> </w:t>
      </w:r>
      <w:r>
        <w:rPr/>
        <w:t>based</w:t>
      </w:r>
      <w:r>
        <w:rPr>
          <w:spacing w:val="-4"/>
        </w:rPr>
        <w:t> </w:t>
      </w:r>
      <w:r>
        <w:rPr/>
        <w:t>on</w:t>
      </w:r>
      <w:r>
        <w:rPr>
          <w:spacing w:val="-4"/>
        </w:rPr>
        <w:t> </w:t>
      </w:r>
      <w:r>
        <w:rPr/>
        <w:t>a</w:t>
      </w:r>
      <w:r>
        <w:rPr>
          <w:spacing w:val="-3"/>
        </w:rPr>
        <w:t> </w:t>
      </w:r>
      <w:r>
        <w:rPr/>
        <w:t>balanced</w:t>
      </w:r>
      <w:r>
        <w:rPr>
          <w:spacing w:val="-2"/>
        </w:rPr>
        <w:t> </w:t>
      </w:r>
      <w:r>
        <w:rPr/>
        <w:t>case,</w:t>
      </w:r>
      <w:r>
        <w:rPr>
          <w:spacing w:val="-5"/>
        </w:rPr>
        <w:t> </w:t>
      </w:r>
      <w:r>
        <w:rPr/>
        <w:t>quality</w:t>
      </w:r>
      <w:r>
        <w:rPr>
          <w:spacing w:val="-8"/>
        </w:rPr>
        <w:t> </w:t>
      </w:r>
      <w:r>
        <w:rPr/>
        <w:t>academic</w:t>
      </w:r>
      <w:r>
        <w:rPr>
          <w:spacing w:val="-4"/>
        </w:rPr>
        <w:t> </w:t>
      </w:r>
      <w:r>
        <w:rPr/>
        <w:t>and/or</w:t>
      </w:r>
      <w:r>
        <w:rPr>
          <w:spacing w:val="-3"/>
        </w:rPr>
        <w:t> </w:t>
      </w:r>
      <w:r>
        <w:rPr/>
        <w:t>professional peer-reviewed scholarship is required for achieving a </w:t>
      </w:r>
      <w:r>
        <w:rPr>
          <w:i/>
        </w:rPr>
        <w:t>highly satisfactory </w:t>
      </w:r>
      <w:r>
        <w:rPr/>
        <w:t>rating.</w:t>
      </w:r>
    </w:p>
    <w:p>
      <w:pPr>
        <w:pStyle w:val="BodyText"/>
        <w:spacing w:line="291" w:lineRule="exact"/>
        <w:ind w:left="119"/>
      </w:pPr>
      <w:r>
        <w:rPr/>
        <w:t>Dissemination</w:t>
      </w:r>
      <w:r>
        <w:rPr>
          <w:spacing w:val="-2"/>
        </w:rPr>
        <w:t> </w:t>
      </w:r>
      <w:r>
        <w:rPr/>
        <w:t>to</w:t>
      </w:r>
      <w:r>
        <w:rPr>
          <w:spacing w:val="-2"/>
        </w:rPr>
        <w:t> </w:t>
      </w:r>
      <w:r>
        <w:rPr/>
        <w:t>others</w:t>
      </w:r>
      <w:r>
        <w:rPr>
          <w:spacing w:val="-3"/>
        </w:rPr>
        <w:t> </w:t>
      </w:r>
      <w:r>
        <w:rPr/>
        <w:t>is</w:t>
      </w:r>
      <w:r>
        <w:rPr>
          <w:spacing w:val="-3"/>
        </w:rPr>
        <w:t> </w:t>
      </w:r>
      <w:r>
        <w:rPr/>
        <w:t>further</w:t>
      </w:r>
      <w:r>
        <w:rPr>
          <w:spacing w:val="-5"/>
        </w:rPr>
        <w:t> </w:t>
      </w:r>
      <w:r>
        <w:rPr/>
        <w:t>defined</w:t>
      </w:r>
      <w:r>
        <w:rPr>
          <w:spacing w:val="-4"/>
        </w:rPr>
        <w:t> </w:t>
      </w:r>
      <w:r>
        <w:rPr/>
        <w:t>in</w:t>
      </w:r>
      <w:r>
        <w:rPr>
          <w:spacing w:val="-4"/>
        </w:rPr>
        <w:t> </w:t>
      </w:r>
      <w:r>
        <w:rPr/>
        <w:t>Appendix</w:t>
      </w:r>
      <w:r>
        <w:rPr>
          <w:spacing w:val="-7"/>
        </w:rPr>
        <w:t> </w:t>
      </w:r>
      <w:r>
        <w:rPr>
          <w:spacing w:val="-5"/>
        </w:rPr>
        <w:t>2.</w:t>
      </w:r>
    </w:p>
    <w:p>
      <w:pPr>
        <w:pStyle w:val="BodyText"/>
        <w:spacing w:before="290"/>
        <w:ind w:left="119" w:right="330" w:firstLine="840"/>
      </w:pPr>
      <w:r>
        <w:rPr>
          <w:b/>
          <w:i/>
        </w:rPr>
        <w:t>Satisfactory.</w:t>
      </w:r>
      <w:r>
        <w:rPr>
          <w:b/>
          <w:i/>
          <w:spacing w:val="40"/>
        </w:rPr>
        <w:t> </w:t>
      </w:r>
      <w:r>
        <w:rPr/>
        <w:t>The candidate has carried the teaching load assigned and teaching contributions support the School’s teaching mission, values and goals.</w:t>
      </w:r>
      <w:r>
        <w:rPr>
          <w:spacing w:val="40"/>
        </w:rPr>
        <w:t> </w:t>
      </w:r>
      <w:r>
        <w:rPr/>
        <w:t>The</w:t>
      </w:r>
      <w:r>
        <w:rPr>
          <w:spacing w:val="40"/>
        </w:rPr>
        <w:t> </w:t>
      </w:r>
      <w:r>
        <w:rPr/>
        <w:t>results obtained from</w:t>
      </w:r>
      <w:r>
        <w:rPr>
          <w:spacing w:val="-1"/>
        </w:rPr>
        <w:t> </w:t>
      </w:r>
      <w:r>
        <w:rPr/>
        <w:t>student</w:t>
      </w:r>
      <w:r>
        <w:rPr>
          <w:spacing w:val="-1"/>
        </w:rPr>
        <w:t> </w:t>
      </w:r>
      <w:r>
        <w:rPr/>
        <w:t>evaluation instruments</w:t>
      </w:r>
      <w:r>
        <w:rPr>
          <w:spacing w:val="-2"/>
        </w:rPr>
        <w:t> </w:t>
      </w:r>
      <w:r>
        <w:rPr/>
        <w:t>(the numerically scored</w:t>
      </w:r>
      <w:r>
        <w:rPr>
          <w:spacing w:val="80"/>
        </w:rPr>
        <w:t> </w:t>
      </w:r>
      <w:r>
        <w:rPr/>
        <w:t>questions as well as</w:t>
      </w:r>
      <w:r>
        <w:rPr>
          <w:spacing w:val="-2"/>
        </w:rPr>
        <w:t> </w:t>
      </w:r>
      <w:r>
        <w:rPr/>
        <w:t>the</w:t>
      </w:r>
      <w:r>
        <w:rPr>
          <w:spacing w:val="-1"/>
        </w:rPr>
        <w:t> </w:t>
      </w:r>
      <w:r>
        <w:rPr/>
        <w:t>open- ended questions</w:t>
      </w:r>
      <w:r>
        <w:rPr>
          <w:spacing w:val="-5"/>
        </w:rPr>
        <w:t> </w:t>
      </w:r>
      <w:r>
        <w:rPr/>
        <w:t>calling</w:t>
      </w:r>
      <w:r>
        <w:rPr>
          <w:spacing w:val="-2"/>
        </w:rPr>
        <w:t> </w:t>
      </w:r>
      <w:r>
        <w:rPr/>
        <w:t>for</w:t>
      </w:r>
      <w:r>
        <w:rPr>
          <w:spacing w:val="-7"/>
        </w:rPr>
        <w:t> </w:t>
      </w:r>
      <w:r>
        <w:rPr/>
        <w:t>narrative responses)</w:t>
      </w:r>
      <w:r>
        <w:rPr>
          <w:spacing w:val="76"/>
        </w:rPr>
        <w:t> </w:t>
      </w:r>
      <w:r>
        <w:rPr/>
        <w:t>indicate</w:t>
      </w:r>
      <w:r>
        <w:rPr>
          <w:spacing w:val="-4"/>
        </w:rPr>
        <w:t> </w:t>
      </w:r>
      <w:r>
        <w:rPr/>
        <w:t>that the candidate is</w:t>
      </w:r>
      <w:r>
        <w:rPr>
          <w:spacing w:val="-3"/>
        </w:rPr>
        <w:t> </w:t>
      </w:r>
      <w:r>
        <w:rPr/>
        <w:t>performing</w:t>
      </w:r>
      <w:r>
        <w:rPr>
          <w:spacing w:val="-5"/>
        </w:rPr>
        <w:t> </w:t>
      </w:r>
      <w:r>
        <w:rPr/>
        <w:t>the candidate’s instructional</w:t>
      </w:r>
      <w:r>
        <w:rPr>
          <w:spacing w:val="-2"/>
        </w:rPr>
        <w:t> </w:t>
      </w:r>
      <w:r>
        <w:rPr/>
        <w:t>responsibilities at</w:t>
      </w:r>
      <w:r>
        <w:rPr>
          <w:spacing w:val="80"/>
        </w:rPr>
        <w:t> </w:t>
      </w:r>
      <w:r>
        <w:rPr/>
        <w:t>an acceptable level.</w:t>
      </w:r>
      <w:r>
        <w:rPr>
          <w:spacing w:val="-2"/>
        </w:rPr>
        <w:t> </w:t>
      </w:r>
      <w:r>
        <w:rPr/>
        <w:t>Peer evaluations</w:t>
      </w:r>
      <w:r>
        <w:rPr>
          <w:spacing w:val="-2"/>
        </w:rPr>
        <w:t> </w:t>
      </w:r>
      <w:r>
        <w:rPr/>
        <w:t>and other relevant evidence support the</w:t>
      </w:r>
      <w:r>
        <w:rPr>
          <w:spacing w:val="80"/>
        </w:rPr>
        <w:t> </w:t>
      </w:r>
      <w:r>
        <w:rPr/>
        <w:t>conclusion that the instructor’s</w:t>
      </w:r>
      <w:r>
        <w:rPr>
          <w:spacing w:val="-3"/>
        </w:rPr>
        <w:t> </w:t>
      </w:r>
      <w:r>
        <w:rPr/>
        <w:t>teaching,</w:t>
      </w:r>
      <w:r>
        <w:rPr>
          <w:spacing w:val="-1"/>
        </w:rPr>
        <w:t> </w:t>
      </w:r>
      <w:r>
        <w:rPr/>
        <w:t>though generally satisfactory, does</w:t>
      </w:r>
      <w:r>
        <w:rPr>
          <w:spacing w:val="-5"/>
        </w:rPr>
        <w:t> </w:t>
      </w:r>
      <w:r>
        <w:rPr/>
        <w:t>not</w:t>
      </w:r>
      <w:r>
        <w:rPr>
          <w:spacing w:val="80"/>
        </w:rPr>
        <w:t> </w:t>
      </w:r>
      <w:r>
        <w:rPr/>
        <w:t>warrant a</w:t>
      </w:r>
      <w:r>
        <w:rPr>
          <w:spacing w:val="-3"/>
        </w:rPr>
        <w:t> </w:t>
      </w:r>
      <w:r>
        <w:rPr/>
        <w:t>rating</w:t>
      </w:r>
      <w:r>
        <w:rPr>
          <w:spacing w:val="-3"/>
        </w:rPr>
        <w:t> </w:t>
      </w:r>
      <w:r>
        <w:rPr/>
        <w:t>of highly satisfactory</w:t>
      </w:r>
      <w:r>
        <w:rPr>
          <w:spacing w:val="-2"/>
        </w:rPr>
        <w:t> </w:t>
      </w:r>
      <w:r>
        <w:rPr/>
        <w:t>or excellent.</w:t>
      </w:r>
      <w:r>
        <w:rPr>
          <w:spacing w:val="40"/>
        </w:rPr>
        <w:t> </w:t>
      </w:r>
      <w:r>
        <w:rPr/>
        <w:t>(A rating</w:t>
      </w:r>
      <w:r>
        <w:rPr>
          <w:spacing w:val="-3"/>
        </w:rPr>
        <w:t> </w:t>
      </w:r>
      <w:r>
        <w:rPr/>
        <w:t>of satisfactory</w:t>
      </w:r>
      <w:r>
        <w:rPr>
          <w:spacing w:val="-6"/>
        </w:rPr>
        <w:t> </w:t>
      </w:r>
      <w:r>
        <w:rPr/>
        <w:t>may</w:t>
      </w:r>
      <w:r>
        <w:rPr>
          <w:spacing w:val="-6"/>
        </w:rPr>
        <w:t> </w:t>
      </w:r>
      <w:r>
        <w:rPr/>
        <w:t>also</w:t>
      </w:r>
      <w:r>
        <w:rPr>
          <w:spacing w:val="-5"/>
        </w:rPr>
        <w:t> </w:t>
      </w:r>
      <w:r>
        <w:rPr/>
        <w:t>be</w:t>
      </w:r>
      <w:r>
        <w:rPr>
          <w:spacing w:val="67"/>
        </w:rPr>
        <w:t> </w:t>
      </w:r>
      <w:r>
        <w:rPr/>
        <w:t>appropriate</w:t>
      </w:r>
      <w:r>
        <w:rPr>
          <w:spacing w:val="-5"/>
        </w:rPr>
        <w:t> </w:t>
      </w:r>
      <w:r>
        <w:rPr/>
        <w:t>if</w:t>
      </w:r>
      <w:r>
        <w:rPr>
          <w:spacing w:val="-9"/>
        </w:rPr>
        <w:t> </w:t>
      </w:r>
      <w:r>
        <w:rPr/>
        <w:t>particular</w:t>
      </w:r>
      <w:r>
        <w:rPr>
          <w:spacing w:val="-8"/>
        </w:rPr>
        <w:t> </w:t>
      </w:r>
      <w:r>
        <w:rPr/>
        <w:t>problems</w:t>
      </w:r>
      <w:r>
        <w:rPr>
          <w:spacing w:val="-8"/>
        </w:rPr>
        <w:t> </w:t>
      </w:r>
      <w:r>
        <w:rPr/>
        <w:t>with</w:t>
      </w:r>
      <w:r>
        <w:rPr>
          <w:spacing w:val="-4"/>
        </w:rPr>
        <w:t> </w:t>
      </w:r>
      <w:r>
        <w:rPr/>
        <w:t>the</w:t>
      </w:r>
      <w:r>
        <w:rPr>
          <w:spacing w:val="-5"/>
        </w:rPr>
        <w:t> </w:t>
      </w:r>
      <w:r>
        <w:rPr/>
        <w:t>candidate’s</w:t>
      </w:r>
      <w:r>
        <w:rPr>
          <w:spacing w:val="-8"/>
        </w:rPr>
        <w:t> </w:t>
      </w:r>
      <w:r>
        <w:rPr/>
        <w:t>teaching</w:t>
      </w:r>
      <w:r>
        <w:rPr>
          <w:spacing w:val="-8"/>
        </w:rPr>
        <w:t> </w:t>
      </w:r>
      <w:r>
        <w:rPr/>
        <w:t>have been</w:t>
      </w:r>
      <w:r>
        <w:rPr>
          <w:spacing w:val="80"/>
        </w:rPr>
        <w:t> </w:t>
      </w:r>
      <w:r>
        <w:rPr/>
        <w:t>identified,</w:t>
      </w:r>
      <w:r>
        <w:rPr>
          <w:spacing w:val="-14"/>
        </w:rPr>
        <w:t> </w:t>
      </w:r>
      <w:r>
        <w:rPr/>
        <w:t>the</w:t>
      </w:r>
      <w:r>
        <w:rPr>
          <w:spacing w:val="-9"/>
        </w:rPr>
        <w:t> </w:t>
      </w:r>
      <w:r>
        <w:rPr/>
        <w:t>candidate</w:t>
      </w:r>
      <w:r>
        <w:rPr>
          <w:spacing w:val="-9"/>
        </w:rPr>
        <w:t> </w:t>
      </w:r>
      <w:r>
        <w:rPr/>
        <w:t>has</w:t>
      </w:r>
      <w:r>
        <w:rPr>
          <w:spacing w:val="-12"/>
        </w:rPr>
        <w:t> </w:t>
      </w:r>
      <w:r>
        <w:rPr/>
        <w:t>taken</w:t>
      </w:r>
      <w:r>
        <w:rPr>
          <w:spacing w:val="-7"/>
        </w:rPr>
        <w:t> </w:t>
      </w:r>
      <w:r>
        <w:rPr/>
        <w:t>appropriate</w:t>
      </w:r>
      <w:r>
        <w:rPr>
          <w:spacing w:val="-7"/>
        </w:rPr>
        <w:t> </w:t>
      </w:r>
      <w:r>
        <w:rPr/>
        <w:t>steps</w:t>
      </w:r>
      <w:r>
        <w:rPr>
          <w:spacing w:val="-10"/>
        </w:rPr>
        <w:t> </w:t>
      </w:r>
      <w:r>
        <w:rPr/>
        <w:t>to</w:t>
      </w:r>
      <w:r>
        <w:rPr>
          <w:spacing w:val="-7"/>
        </w:rPr>
        <w:t> </w:t>
      </w:r>
      <w:r>
        <w:rPr/>
        <w:t>address</w:t>
      </w:r>
      <w:r>
        <w:rPr>
          <w:spacing w:val="-12"/>
        </w:rPr>
        <w:t> </w:t>
      </w:r>
      <w:r>
        <w:rPr/>
        <w:t>the</w:t>
      </w:r>
      <w:r>
        <w:rPr>
          <w:spacing w:val="-11"/>
        </w:rPr>
        <w:t> </w:t>
      </w:r>
      <w:r>
        <w:rPr/>
        <w:t>problems</w:t>
      </w:r>
      <w:r>
        <w:rPr>
          <w:spacing w:val="-10"/>
        </w:rPr>
        <w:t> </w:t>
      </w:r>
      <w:r>
        <w:rPr/>
        <w:t>and</w:t>
      </w:r>
      <w:r>
        <w:rPr>
          <w:spacing w:val="65"/>
        </w:rPr>
        <w:t> </w:t>
      </w:r>
      <w:r>
        <w:rPr/>
        <w:t>bring teaching quality to an acceptable level.) Candidates</w:t>
      </w:r>
      <w:r>
        <w:rPr>
          <w:spacing w:val="-1"/>
        </w:rPr>
        <w:t> </w:t>
      </w:r>
      <w:r>
        <w:rPr/>
        <w:t>demonstrate a commitment to continued professional growth and keeping current with pedagogical developments in their field.</w:t>
      </w:r>
    </w:p>
    <w:p>
      <w:pPr>
        <w:spacing w:after="0"/>
        <w:sectPr>
          <w:pgSz w:w="12240" w:h="15840"/>
          <w:pgMar w:header="0" w:footer="1712" w:top="1700" w:bottom="1980" w:left="1320" w:right="1180"/>
        </w:sectPr>
      </w:pPr>
    </w:p>
    <w:p>
      <w:pPr>
        <w:pStyle w:val="BodyText"/>
        <w:spacing w:before="32"/>
        <w:ind w:left="120" w:right="182" w:firstLine="840"/>
      </w:pPr>
      <w:r>
        <w:rPr>
          <w:b/>
          <w:i/>
        </w:rPr>
        <w:t>Unsatisfactory</w:t>
      </w:r>
      <w:r>
        <w:rPr/>
        <w:t>.</w:t>
      </w:r>
      <w:r>
        <w:rPr>
          <w:spacing w:val="-14"/>
        </w:rPr>
        <w:t> </w:t>
      </w:r>
      <w:r>
        <w:rPr/>
        <w:t>The</w:t>
      </w:r>
      <w:r>
        <w:rPr>
          <w:spacing w:val="-14"/>
        </w:rPr>
        <w:t> </w:t>
      </w:r>
      <w:r>
        <w:rPr/>
        <w:t>contributions</w:t>
      </w:r>
      <w:r>
        <w:rPr>
          <w:spacing w:val="-13"/>
        </w:rPr>
        <w:t> </w:t>
      </w:r>
      <w:r>
        <w:rPr/>
        <w:t>to</w:t>
      </w:r>
      <w:r>
        <w:rPr>
          <w:spacing w:val="-14"/>
        </w:rPr>
        <w:t> </w:t>
      </w:r>
      <w:r>
        <w:rPr/>
        <w:t>the</w:t>
      </w:r>
      <w:r>
        <w:rPr>
          <w:spacing w:val="-13"/>
        </w:rPr>
        <w:t> </w:t>
      </w:r>
      <w:r>
        <w:rPr/>
        <w:t>instructional</w:t>
      </w:r>
      <w:r>
        <w:rPr>
          <w:spacing w:val="-14"/>
        </w:rPr>
        <w:t> </w:t>
      </w:r>
      <w:r>
        <w:rPr/>
        <w:t>mission</w:t>
      </w:r>
      <w:r>
        <w:rPr>
          <w:spacing w:val="-13"/>
        </w:rPr>
        <w:t> </w:t>
      </w:r>
      <w:r>
        <w:rPr/>
        <w:t>are</w:t>
      </w:r>
      <w:r>
        <w:rPr>
          <w:spacing w:val="-14"/>
        </w:rPr>
        <w:t> </w:t>
      </w:r>
      <w:r>
        <w:rPr/>
        <w:t>at</w:t>
      </w:r>
      <w:r>
        <w:rPr>
          <w:spacing w:val="-14"/>
        </w:rPr>
        <w:t> </w:t>
      </w:r>
      <w:r>
        <w:rPr/>
        <w:t>an</w:t>
      </w:r>
      <w:r>
        <w:rPr>
          <w:spacing w:val="-13"/>
        </w:rPr>
        <w:t> </w:t>
      </w:r>
      <w:r>
        <w:rPr/>
        <w:t>unacceptable level. A rating of unsatisfactory typically stems from one or more of the following:</w:t>
      </w:r>
      <w:hyperlink w:history="true" w:anchor="_bookmark13">
        <w:r>
          <w:rPr>
            <w:vertAlign w:val="superscript"/>
          </w:rPr>
          <w:t>14</w:t>
        </w:r>
      </w:hyperlink>
    </w:p>
    <w:p>
      <w:pPr>
        <w:pStyle w:val="BodyText"/>
        <w:spacing w:before="51"/>
      </w:pPr>
    </w:p>
    <w:p>
      <w:pPr>
        <w:pStyle w:val="ListParagraph"/>
        <w:numPr>
          <w:ilvl w:val="0"/>
          <w:numId w:val="10"/>
        </w:numPr>
        <w:tabs>
          <w:tab w:pos="839" w:val="left" w:leader="none"/>
        </w:tabs>
        <w:spacing w:line="240" w:lineRule="auto" w:before="1" w:after="0"/>
        <w:ind w:left="839" w:right="669" w:hanging="360"/>
        <w:jc w:val="left"/>
        <w:rPr>
          <w:sz w:val="24"/>
        </w:rPr>
      </w:pPr>
      <w:r>
        <w:rPr>
          <w:sz w:val="24"/>
        </w:rPr>
        <w:t>Results</w:t>
      </w:r>
      <w:r>
        <w:rPr>
          <w:spacing w:val="-14"/>
          <w:sz w:val="24"/>
        </w:rPr>
        <w:t> </w:t>
      </w:r>
      <w:r>
        <w:rPr>
          <w:sz w:val="24"/>
        </w:rPr>
        <w:t>from</w:t>
      </w:r>
      <w:r>
        <w:rPr>
          <w:spacing w:val="-14"/>
          <w:sz w:val="24"/>
        </w:rPr>
        <w:t> </w:t>
      </w:r>
      <w:r>
        <w:rPr>
          <w:sz w:val="24"/>
        </w:rPr>
        <w:t>the</w:t>
      </w:r>
      <w:r>
        <w:rPr>
          <w:spacing w:val="-11"/>
          <w:sz w:val="24"/>
        </w:rPr>
        <w:t> </w:t>
      </w:r>
      <w:r>
        <w:rPr>
          <w:sz w:val="24"/>
        </w:rPr>
        <w:t>student</w:t>
      </w:r>
      <w:r>
        <w:rPr>
          <w:spacing w:val="-14"/>
          <w:sz w:val="24"/>
        </w:rPr>
        <w:t> </w:t>
      </w:r>
      <w:r>
        <w:rPr>
          <w:sz w:val="24"/>
        </w:rPr>
        <w:t>evaluation</w:t>
      </w:r>
      <w:r>
        <w:rPr>
          <w:spacing w:val="-13"/>
          <w:sz w:val="24"/>
        </w:rPr>
        <w:t> </w:t>
      </w:r>
      <w:r>
        <w:rPr>
          <w:sz w:val="24"/>
        </w:rPr>
        <w:t>instruments</w:t>
      </w:r>
      <w:r>
        <w:rPr>
          <w:spacing w:val="-13"/>
          <w:sz w:val="24"/>
        </w:rPr>
        <w:t> </w:t>
      </w:r>
      <w:r>
        <w:rPr>
          <w:sz w:val="24"/>
        </w:rPr>
        <w:t>(numbers</w:t>
      </w:r>
      <w:r>
        <w:rPr>
          <w:spacing w:val="-12"/>
          <w:sz w:val="24"/>
        </w:rPr>
        <w:t> </w:t>
      </w:r>
      <w:r>
        <w:rPr>
          <w:sz w:val="24"/>
        </w:rPr>
        <w:t>and</w:t>
      </w:r>
      <w:r>
        <w:rPr>
          <w:spacing w:val="-11"/>
          <w:sz w:val="24"/>
        </w:rPr>
        <w:t> </w:t>
      </w:r>
      <w:r>
        <w:rPr>
          <w:sz w:val="24"/>
        </w:rPr>
        <w:t>comments)</w:t>
      </w:r>
      <w:r>
        <w:rPr>
          <w:spacing w:val="40"/>
          <w:sz w:val="24"/>
        </w:rPr>
        <w:t> </w:t>
      </w:r>
      <w:r>
        <w:rPr>
          <w:sz w:val="24"/>
        </w:rPr>
        <w:t>generally indicate that</w:t>
      </w:r>
      <w:r>
        <w:rPr>
          <w:spacing w:val="-2"/>
          <w:sz w:val="24"/>
        </w:rPr>
        <w:t> </w:t>
      </w:r>
      <w:r>
        <w:rPr>
          <w:sz w:val="24"/>
        </w:rPr>
        <w:t>the faculty</w:t>
      </w:r>
      <w:r>
        <w:rPr>
          <w:spacing w:val="-1"/>
          <w:sz w:val="24"/>
        </w:rPr>
        <w:t> </w:t>
      </w:r>
      <w:r>
        <w:rPr>
          <w:sz w:val="24"/>
        </w:rPr>
        <w:t>member is</w:t>
      </w:r>
      <w:r>
        <w:rPr>
          <w:spacing w:val="-4"/>
          <w:sz w:val="24"/>
        </w:rPr>
        <w:t> </w:t>
      </w:r>
      <w:r>
        <w:rPr>
          <w:sz w:val="24"/>
        </w:rPr>
        <w:t>not an effective teacher</w:t>
      </w:r>
      <w:r>
        <w:rPr>
          <w:spacing w:val="-3"/>
          <w:sz w:val="24"/>
        </w:rPr>
        <w:t> </w:t>
      </w:r>
      <w:r>
        <w:rPr>
          <w:sz w:val="24"/>
        </w:rPr>
        <w:t>and/or that there are significant</w:t>
      </w:r>
      <w:r>
        <w:rPr>
          <w:spacing w:val="-1"/>
          <w:sz w:val="24"/>
        </w:rPr>
        <w:t> </w:t>
      </w:r>
      <w:r>
        <w:rPr>
          <w:sz w:val="24"/>
        </w:rPr>
        <w:t>student complaints about course</w:t>
      </w:r>
      <w:r>
        <w:rPr>
          <w:spacing w:val="-1"/>
          <w:sz w:val="24"/>
        </w:rPr>
        <w:t> </w:t>
      </w:r>
      <w:r>
        <w:rPr>
          <w:sz w:val="24"/>
        </w:rPr>
        <w:t>organization,</w:t>
      </w:r>
      <w:r>
        <w:rPr>
          <w:spacing w:val="80"/>
          <w:sz w:val="24"/>
        </w:rPr>
        <w:t> </w:t>
      </w:r>
      <w:r>
        <w:rPr>
          <w:sz w:val="24"/>
        </w:rPr>
        <w:t>delivery,</w:t>
      </w:r>
      <w:r>
        <w:rPr>
          <w:spacing w:val="-4"/>
          <w:sz w:val="24"/>
        </w:rPr>
        <w:t> </w:t>
      </w:r>
      <w:r>
        <w:rPr>
          <w:sz w:val="24"/>
        </w:rPr>
        <w:t>and/or</w:t>
      </w:r>
      <w:r>
        <w:rPr>
          <w:spacing w:val="-4"/>
          <w:sz w:val="24"/>
        </w:rPr>
        <w:t> </w:t>
      </w:r>
      <w:r>
        <w:rPr>
          <w:sz w:val="24"/>
        </w:rPr>
        <w:t>teaching </w:t>
      </w:r>
      <w:r>
        <w:rPr>
          <w:spacing w:val="-2"/>
          <w:sz w:val="24"/>
        </w:rPr>
        <w:t>effectiveness.</w:t>
      </w:r>
    </w:p>
    <w:p>
      <w:pPr>
        <w:pStyle w:val="ListParagraph"/>
        <w:numPr>
          <w:ilvl w:val="0"/>
          <w:numId w:val="10"/>
        </w:numPr>
        <w:tabs>
          <w:tab w:pos="839" w:val="left" w:leader="none"/>
        </w:tabs>
        <w:spacing w:line="240" w:lineRule="auto" w:before="3" w:after="0"/>
        <w:ind w:left="839" w:right="411" w:hanging="360"/>
        <w:jc w:val="left"/>
        <w:rPr>
          <w:sz w:val="24"/>
        </w:rPr>
      </w:pPr>
      <w:r>
        <w:rPr>
          <w:sz w:val="24"/>
        </w:rPr>
        <w:t>When</w:t>
      </w:r>
      <w:r>
        <w:rPr>
          <w:spacing w:val="-11"/>
          <w:sz w:val="24"/>
        </w:rPr>
        <w:t> </w:t>
      </w:r>
      <w:r>
        <w:rPr>
          <w:sz w:val="24"/>
        </w:rPr>
        <w:t>problems</w:t>
      </w:r>
      <w:r>
        <w:rPr>
          <w:spacing w:val="-14"/>
          <w:sz w:val="24"/>
        </w:rPr>
        <w:t> </w:t>
      </w:r>
      <w:r>
        <w:rPr>
          <w:sz w:val="24"/>
        </w:rPr>
        <w:t>have</w:t>
      </w:r>
      <w:r>
        <w:rPr>
          <w:spacing w:val="-10"/>
          <w:sz w:val="24"/>
        </w:rPr>
        <w:t> </w:t>
      </w:r>
      <w:r>
        <w:rPr>
          <w:sz w:val="24"/>
        </w:rPr>
        <w:t>been</w:t>
      </w:r>
      <w:r>
        <w:rPr>
          <w:spacing w:val="-5"/>
          <w:sz w:val="24"/>
        </w:rPr>
        <w:t> </w:t>
      </w:r>
      <w:r>
        <w:rPr>
          <w:sz w:val="24"/>
        </w:rPr>
        <w:t>identified,</w:t>
      </w:r>
      <w:r>
        <w:rPr>
          <w:spacing w:val="-13"/>
          <w:sz w:val="24"/>
        </w:rPr>
        <w:t> </w:t>
      </w:r>
      <w:r>
        <w:rPr>
          <w:sz w:val="24"/>
        </w:rPr>
        <w:t>the</w:t>
      </w:r>
      <w:r>
        <w:rPr>
          <w:spacing w:val="-10"/>
          <w:sz w:val="24"/>
        </w:rPr>
        <w:t> </w:t>
      </w:r>
      <w:r>
        <w:rPr>
          <w:sz w:val="24"/>
        </w:rPr>
        <w:t>faculty</w:t>
      </w:r>
      <w:r>
        <w:rPr>
          <w:spacing w:val="-14"/>
          <w:sz w:val="24"/>
        </w:rPr>
        <w:t> </w:t>
      </w:r>
      <w:r>
        <w:rPr>
          <w:sz w:val="24"/>
        </w:rPr>
        <w:t>member</w:t>
      </w:r>
      <w:r>
        <w:rPr>
          <w:spacing w:val="-13"/>
          <w:sz w:val="24"/>
        </w:rPr>
        <w:t> </w:t>
      </w:r>
      <w:r>
        <w:rPr>
          <w:sz w:val="24"/>
        </w:rPr>
        <w:t>has</w:t>
      </w:r>
      <w:r>
        <w:rPr>
          <w:spacing w:val="-11"/>
          <w:sz w:val="24"/>
        </w:rPr>
        <w:t> </w:t>
      </w:r>
      <w:r>
        <w:rPr>
          <w:sz w:val="24"/>
        </w:rPr>
        <w:t>been</w:t>
      </w:r>
      <w:r>
        <w:rPr>
          <w:spacing w:val="-12"/>
          <w:sz w:val="24"/>
        </w:rPr>
        <w:t> </w:t>
      </w:r>
      <w:r>
        <w:rPr>
          <w:sz w:val="24"/>
        </w:rPr>
        <w:t>unwilling</w:t>
      </w:r>
      <w:r>
        <w:rPr>
          <w:spacing w:val="40"/>
          <w:sz w:val="24"/>
        </w:rPr>
        <w:t> </w:t>
      </w:r>
      <w:r>
        <w:rPr>
          <w:sz w:val="24"/>
        </w:rPr>
        <w:t>or</w:t>
      </w:r>
      <w:r>
        <w:rPr>
          <w:spacing w:val="-8"/>
          <w:sz w:val="24"/>
        </w:rPr>
        <w:t> </w:t>
      </w:r>
      <w:r>
        <w:rPr>
          <w:sz w:val="24"/>
        </w:rPr>
        <w:t>unable to craft</w:t>
      </w:r>
      <w:r>
        <w:rPr>
          <w:spacing w:val="-1"/>
          <w:sz w:val="24"/>
        </w:rPr>
        <w:t> </w:t>
      </w:r>
      <w:r>
        <w:rPr>
          <w:sz w:val="24"/>
        </w:rPr>
        <w:t>effective responses</w:t>
      </w:r>
      <w:r>
        <w:rPr>
          <w:spacing w:val="-3"/>
          <w:sz w:val="24"/>
        </w:rPr>
        <w:t> </w:t>
      </w:r>
      <w:r>
        <w:rPr>
          <w:sz w:val="24"/>
        </w:rPr>
        <w:t>to address</w:t>
      </w:r>
      <w:r>
        <w:rPr>
          <w:spacing w:val="-3"/>
          <w:sz w:val="24"/>
        </w:rPr>
        <w:t> </w:t>
      </w:r>
      <w:r>
        <w:rPr>
          <w:sz w:val="24"/>
        </w:rPr>
        <w:t>the</w:t>
      </w:r>
      <w:r>
        <w:rPr>
          <w:spacing w:val="-2"/>
          <w:sz w:val="24"/>
        </w:rPr>
        <w:t> </w:t>
      </w:r>
      <w:r>
        <w:rPr>
          <w:sz w:val="24"/>
        </w:rPr>
        <w:t>problems,</w:t>
      </w:r>
      <w:r>
        <w:rPr>
          <w:spacing w:val="-3"/>
          <w:sz w:val="24"/>
        </w:rPr>
        <w:t> </w:t>
      </w:r>
      <w:r>
        <w:rPr>
          <w:sz w:val="24"/>
        </w:rPr>
        <w:t>and there is a</w:t>
      </w:r>
      <w:r>
        <w:rPr>
          <w:spacing w:val="80"/>
          <w:sz w:val="24"/>
        </w:rPr>
        <w:t> </w:t>
      </w:r>
      <w:r>
        <w:rPr>
          <w:sz w:val="24"/>
        </w:rPr>
        <w:t>discernible lack</w:t>
      </w:r>
      <w:r>
        <w:rPr>
          <w:spacing w:val="-2"/>
          <w:sz w:val="24"/>
        </w:rPr>
        <w:t> </w:t>
      </w:r>
      <w:r>
        <w:rPr>
          <w:sz w:val="24"/>
        </w:rPr>
        <w:t>of improvement over</w:t>
      </w:r>
      <w:r>
        <w:rPr>
          <w:spacing w:val="-1"/>
          <w:sz w:val="24"/>
        </w:rPr>
        <w:t> </w:t>
      </w:r>
      <w:r>
        <w:rPr>
          <w:sz w:val="24"/>
        </w:rPr>
        <w:t>time</w:t>
      </w:r>
      <w:r>
        <w:rPr>
          <w:spacing w:val="-1"/>
          <w:sz w:val="24"/>
        </w:rPr>
        <w:t> </w:t>
      </w:r>
      <w:r>
        <w:rPr>
          <w:sz w:val="24"/>
        </w:rPr>
        <w:t>and/or an inability</w:t>
      </w:r>
      <w:r>
        <w:rPr>
          <w:spacing w:val="-2"/>
          <w:sz w:val="24"/>
        </w:rPr>
        <w:t> </w:t>
      </w:r>
      <w:r>
        <w:rPr>
          <w:sz w:val="24"/>
        </w:rPr>
        <w:t>to bring the</w:t>
      </w:r>
      <w:r>
        <w:rPr>
          <w:spacing w:val="40"/>
          <w:sz w:val="24"/>
        </w:rPr>
        <w:t> </w:t>
      </w:r>
      <w:r>
        <w:rPr>
          <w:sz w:val="24"/>
        </w:rPr>
        <w:t>teaching up to an acceptable level on a regular basis.</w:t>
      </w:r>
    </w:p>
    <w:p>
      <w:pPr>
        <w:pStyle w:val="ListParagraph"/>
        <w:numPr>
          <w:ilvl w:val="0"/>
          <w:numId w:val="10"/>
        </w:numPr>
        <w:tabs>
          <w:tab w:pos="839" w:val="left" w:leader="none"/>
        </w:tabs>
        <w:spacing w:line="242" w:lineRule="auto" w:before="0" w:after="0"/>
        <w:ind w:left="839" w:right="772" w:hanging="360"/>
        <w:jc w:val="left"/>
        <w:rPr>
          <w:sz w:val="24"/>
        </w:rPr>
      </w:pPr>
      <w:r>
        <w:rPr>
          <w:sz w:val="24"/>
        </w:rPr>
        <w:t>Peer</w:t>
      </w:r>
      <w:r>
        <w:rPr>
          <w:spacing w:val="-11"/>
          <w:sz w:val="24"/>
        </w:rPr>
        <w:t> </w:t>
      </w:r>
      <w:r>
        <w:rPr>
          <w:sz w:val="24"/>
        </w:rPr>
        <w:t>assessments</w:t>
      </w:r>
      <w:r>
        <w:rPr>
          <w:spacing w:val="-5"/>
          <w:sz w:val="24"/>
        </w:rPr>
        <w:t> </w:t>
      </w:r>
      <w:r>
        <w:rPr>
          <w:sz w:val="24"/>
        </w:rPr>
        <w:t>confirm</w:t>
      </w:r>
      <w:r>
        <w:rPr>
          <w:spacing w:val="-12"/>
          <w:sz w:val="24"/>
        </w:rPr>
        <w:t> </w:t>
      </w:r>
      <w:r>
        <w:rPr>
          <w:sz w:val="24"/>
        </w:rPr>
        <w:t>that</w:t>
      </w:r>
      <w:r>
        <w:rPr>
          <w:spacing w:val="-11"/>
          <w:sz w:val="24"/>
        </w:rPr>
        <w:t> </w:t>
      </w:r>
      <w:r>
        <w:rPr>
          <w:sz w:val="24"/>
        </w:rPr>
        <w:t>the</w:t>
      </w:r>
      <w:r>
        <w:rPr>
          <w:spacing w:val="-9"/>
          <w:sz w:val="24"/>
        </w:rPr>
        <w:t> </w:t>
      </w:r>
      <w:r>
        <w:rPr>
          <w:sz w:val="24"/>
        </w:rPr>
        <w:t>faculty</w:t>
      </w:r>
      <w:r>
        <w:rPr>
          <w:spacing w:val="-10"/>
          <w:sz w:val="24"/>
        </w:rPr>
        <w:t> </w:t>
      </w:r>
      <w:r>
        <w:rPr>
          <w:sz w:val="24"/>
        </w:rPr>
        <w:t>member’s</w:t>
      </w:r>
      <w:r>
        <w:rPr>
          <w:spacing w:val="-12"/>
          <w:sz w:val="24"/>
        </w:rPr>
        <w:t> </w:t>
      </w:r>
      <w:r>
        <w:rPr>
          <w:sz w:val="24"/>
        </w:rPr>
        <w:t>teaching</w:t>
      </w:r>
      <w:r>
        <w:rPr>
          <w:spacing w:val="-12"/>
          <w:sz w:val="24"/>
        </w:rPr>
        <w:t> </w:t>
      </w:r>
      <w:r>
        <w:rPr>
          <w:sz w:val="24"/>
        </w:rPr>
        <w:t>quality</w:t>
      </w:r>
      <w:r>
        <w:rPr>
          <w:spacing w:val="-13"/>
          <w:sz w:val="24"/>
        </w:rPr>
        <w:t> </w:t>
      </w:r>
      <w:r>
        <w:rPr>
          <w:sz w:val="24"/>
        </w:rPr>
        <w:t>falls</w:t>
      </w:r>
      <w:r>
        <w:rPr>
          <w:spacing w:val="57"/>
          <w:sz w:val="24"/>
        </w:rPr>
        <w:t> </w:t>
      </w:r>
      <w:r>
        <w:rPr>
          <w:sz w:val="24"/>
        </w:rPr>
        <w:t>below</w:t>
      </w:r>
      <w:r>
        <w:rPr>
          <w:spacing w:val="-11"/>
          <w:sz w:val="24"/>
        </w:rPr>
        <w:t> </w:t>
      </w:r>
      <w:r>
        <w:rPr>
          <w:sz w:val="24"/>
        </w:rPr>
        <w:t>an acceptable level.</w:t>
      </w:r>
    </w:p>
    <w:p>
      <w:pPr>
        <w:pStyle w:val="ListParagraph"/>
        <w:numPr>
          <w:ilvl w:val="0"/>
          <w:numId w:val="10"/>
        </w:numPr>
        <w:tabs>
          <w:tab w:pos="839" w:val="left" w:leader="none"/>
        </w:tabs>
        <w:spacing w:line="240" w:lineRule="auto" w:before="0" w:after="0"/>
        <w:ind w:left="839" w:right="972" w:hanging="360"/>
        <w:jc w:val="left"/>
        <w:rPr>
          <w:sz w:val="24"/>
        </w:rPr>
      </w:pPr>
      <w:r>
        <w:rPr>
          <w:sz w:val="24"/>
        </w:rPr>
        <w:t>The</w:t>
      </w:r>
      <w:r>
        <w:rPr>
          <w:spacing w:val="-11"/>
          <w:sz w:val="24"/>
        </w:rPr>
        <w:t> </w:t>
      </w:r>
      <w:r>
        <w:rPr>
          <w:sz w:val="24"/>
        </w:rPr>
        <w:t>faculty</w:t>
      </w:r>
      <w:r>
        <w:rPr>
          <w:spacing w:val="-10"/>
          <w:sz w:val="24"/>
        </w:rPr>
        <w:t> </w:t>
      </w:r>
      <w:r>
        <w:rPr>
          <w:sz w:val="24"/>
        </w:rPr>
        <w:t>member</w:t>
      </w:r>
      <w:r>
        <w:rPr>
          <w:spacing w:val="-11"/>
          <w:sz w:val="24"/>
        </w:rPr>
        <w:t> </w:t>
      </w:r>
      <w:r>
        <w:rPr>
          <w:sz w:val="24"/>
        </w:rPr>
        <w:t>demonstrates</w:t>
      </w:r>
      <w:r>
        <w:rPr>
          <w:spacing w:val="-6"/>
          <w:sz w:val="24"/>
        </w:rPr>
        <w:t> </w:t>
      </w:r>
      <w:r>
        <w:rPr>
          <w:sz w:val="24"/>
        </w:rPr>
        <w:t>an</w:t>
      </w:r>
      <w:r>
        <w:rPr>
          <w:spacing w:val="-4"/>
          <w:sz w:val="24"/>
        </w:rPr>
        <w:t> </w:t>
      </w:r>
      <w:r>
        <w:rPr>
          <w:sz w:val="24"/>
        </w:rPr>
        <w:t>inability</w:t>
      </w:r>
      <w:r>
        <w:rPr>
          <w:spacing w:val="-8"/>
          <w:sz w:val="24"/>
        </w:rPr>
        <w:t> </w:t>
      </w:r>
      <w:r>
        <w:rPr>
          <w:sz w:val="24"/>
        </w:rPr>
        <w:t>to</w:t>
      </w:r>
      <w:r>
        <w:rPr>
          <w:spacing w:val="-11"/>
          <w:sz w:val="24"/>
        </w:rPr>
        <w:t> </w:t>
      </w:r>
      <w:r>
        <w:rPr>
          <w:sz w:val="24"/>
        </w:rPr>
        <w:t>prepare</w:t>
      </w:r>
      <w:r>
        <w:rPr>
          <w:spacing w:val="-7"/>
          <w:sz w:val="24"/>
        </w:rPr>
        <w:t> </w:t>
      </w:r>
      <w:r>
        <w:rPr>
          <w:sz w:val="24"/>
        </w:rPr>
        <w:t>a</w:t>
      </w:r>
      <w:r>
        <w:rPr>
          <w:spacing w:val="-7"/>
          <w:sz w:val="24"/>
        </w:rPr>
        <w:t> </w:t>
      </w:r>
      <w:r>
        <w:rPr>
          <w:sz w:val="24"/>
        </w:rPr>
        <w:t>course</w:t>
      </w:r>
      <w:r>
        <w:rPr>
          <w:spacing w:val="-11"/>
          <w:sz w:val="24"/>
        </w:rPr>
        <w:t> </w:t>
      </w:r>
      <w:r>
        <w:rPr>
          <w:sz w:val="24"/>
        </w:rPr>
        <w:t>that</w:t>
      </w:r>
      <w:r>
        <w:rPr>
          <w:spacing w:val="-8"/>
          <w:sz w:val="24"/>
        </w:rPr>
        <w:t> </w:t>
      </w:r>
      <w:r>
        <w:rPr>
          <w:sz w:val="24"/>
        </w:rPr>
        <w:t>was</w:t>
      </w:r>
      <w:r>
        <w:rPr>
          <w:spacing w:val="-7"/>
          <w:sz w:val="24"/>
        </w:rPr>
        <w:t> </w:t>
      </w:r>
      <w:r>
        <w:rPr>
          <w:sz w:val="24"/>
        </w:rPr>
        <w:t>a</w:t>
      </w:r>
      <w:r>
        <w:rPr>
          <w:spacing w:val="-9"/>
          <w:sz w:val="24"/>
        </w:rPr>
        <w:t> </w:t>
      </w:r>
      <w:r>
        <w:rPr>
          <w:sz w:val="24"/>
        </w:rPr>
        <w:t>new </w:t>
      </w:r>
      <w:r>
        <w:rPr>
          <w:spacing w:val="-2"/>
          <w:sz w:val="24"/>
        </w:rPr>
        <w:t>preparation.</w:t>
      </w:r>
    </w:p>
    <w:p>
      <w:pPr>
        <w:pStyle w:val="ListParagraph"/>
        <w:numPr>
          <w:ilvl w:val="0"/>
          <w:numId w:val="10"/>
        </w:numPr>
        <w:tabs>
          <w:tab w:pos="839" w:val="left" w:leader="none"/>
        </w:tabs>
        <w:spacing w:line="240" w:lineRule="auto" w:before="0" w:after="0"/>
        <w:ind w:left="839" w:right="412" w:hanging="360"/>
        <w:jc w:val="left"/>
        <w:rPr>
          <w:sz w:val="24"/>
        </w:rPr>
      </w:pPr>
      <w:r>
        <w:rPr>
          <w:sz w:val="24"/>
        </w:rPr>
        <w:t>The faculty member demonstrates unwillingness or an inability, despite appropriate requests,</w:t>
      </w:r>
      <w:r>
        <w:rPr>
          <w:spacing w:val="-14"/>
          <w:sz w:val="24"/>
        </w:rPr>
        <w:t> </w:t>
      </w:r>
      <w:r>
        <w:rPr>
          <w:sz w:val="24"/>
        </w:rPr>
        <w:t>to</w:t>
      </w:r>
      <w:r>
        <w:rPr>
          <w:spacing w:val="59"/>
          <w:sz w:val="24"/>
        </w:rPr>
        <w:t> </w:t>
      </w:r>
      <w:r>
        <w:rPr>
          <w:sz w:val="24"/>
        </w:rPr>
        <w:t>undertake</w:t>
      </w:r>
      <w:r>
        <w:rPr>
          <w:spacing w:val="-12"/>
          <w:sz w:val="24"/>
        </w:rPr>
        <w:t> </w:t>
      </w:r>
      <w:r>
        <w:rPr>
          <w:sz w:val="24"/>
        </w:rPr>
        <w:t>assignments</w:t>
      </w:r>
      <w:r>
        <w:rPr>
          <w:spacing w:val="-14"/>
          <w:sz w:val="24"/>
        </w:rPr>
        <w:t> </w:t>
      </w:r>
      <w:r>
        <w:rPr>
          <w:sz w:val="24"/>
        </w:rPr>
        <w:t>that</w:t>
      </w:r>
      <w:r>
        <w:rPr>
          <w:spacing w:val="-10"/>
          <w:sz w:val="24"/>
        </w:rPr>
        <w:t> </w:t>
      </w:r>
      <w:r>
        <w:rPr>
          <w:sz w:val="24"/>
        </w:rPr>
        <w:t>would</w:t>
      </w:r>
      <w:r>
        <w:rPr>
          <w:spacing w:val="-11"/>
          <w:sz w:val="24"/>
        </w:rPr>
        <w:t> </w:t>
      </w:r>
      <w:r>
        <w:rPr>
          <w:sz w:val="24"/>
        </w:rPr>
        <w:t>be</w:t>
      </w:r>
      <w:r>
        <w:rPr>
          <w:spacing w:val="-12"/>
          <w:sz w:val="24"/>
        </w:rPr>
        <w:t> </w:t>
      </w:r>
      <w:r>
        <w:rPr>
          <w:sz w:val="24"/>
        </w:rPr>
        <w:t>helpful</w:t>
      </w:r>
      <w:r>
        <w:rPr>
          <w:spacing w:val="-12"/>
          <w:sz w:val="24"/>
        </w:rPr>
        <w:t> </w:t>
      </w:r>
      <w:r>
        <w:rPr>
          <w:sz w:val="24"/>
        </w:rPr>
        <w:t>in</w:t>
      </w:r>
      <w:r>
        <w:rPr>
          <w:spacing w:val="-11"/>
          <w:sz w:val="24"/>
        </w:rPr>
        <w:t> </w:t>
      </w:r>
      <w:r>
        <w:rPr>
          <w:sz w:val="24"/>
        </w:rPr>
        <w:t>addressing</w:t>
      </w:r>
      <w:r>
        <w:rPr>
          <w:spacing w:val="-14"/>
          <w:sz w:val="24"/>
        </w:rPr>
        <w:t> </w:t>
      </w:r>
      <w:r>
        <w:rPr>
          <w:sz w:val="24"/>
        </w:rPr>
        <w:t>teaching</w:t>
      </w:r>
      <w:r>
        <w:rPr>
          <w:spacing w:val="-14"/>
          <w:sz w:val="24"/>
        </w:rPr>
        <w:t> </w:t>
      </w:r>
      <w:r>
        <w:rPr>
          <w:sz w:val="24"/>
        </w:rPr>
        <w:t>needs at</w:t>
      </w:r>
      <w:r>
        <w:rPr>
          <w:spacing w:val="80"/>
          <w:sz w:val="24"/>
        </w:rPr>
        <w:t> </w:t>
      </w:r>
      <w:r>
        <w:rPr>
          <w:sz w:val="24"/>
        </w:rPr>
        <w:t>the department and/or School level.</w:t>
      </w:r>
    </w:p>
    <w:p>
      <w:pPr>
        <w:pStyle w:val="ListParagraph"/>
        <w:numPr>
          <w:ilvl w:val="0"/>
          <w:numId w:val="10"/>
        </w:numPr>
        <w:tabs>
          <w:tab w:pos="839" w:val="left" w:leader="none"/>
        </w:tabs>
        <w:spacing w:line="240" w:lineRule="auto" w:before="0" w:after="0"/>
        <w:ind w:left="839" w:right="1293" w:hanging="360"/>
        <w:jc w:val="left"/>
        <w:rPr>
          <w:sz w:val="24"/>
        </w:rPr>
      </w:pPr>
      <w:r>
        <w:rPr>
          <w:sz w:val="24"/>
        </w:rPr>
        <w:t>The</w:t>
      </w:r>
      <w:r>
        <w:rPr>
          <w:spacing w:val="-5"/>
          <w:sz w:val="24"/>
        </w:rPr>
        <w:t> </w:t>
      </w:r>
      <w:r>
        <w:rPr>
          <w:sz w:val="24"/>
        </w:rPr>
        <w:t>faculty</w:t>
      </w:r>
      <w:r>
        <w:rPr>
          <w:spacing w:val="-4"/>
          <w:sz w:val="24"/>
        </w:rPr>
        <w:t> </w:t>
      </w:r>
      <w:r>
        <w:rPr>
          <w:sz w:val="24"/>
        </w:rPr>
        <w:t>member</w:t>
      </w:r>
      <w:r>
        <w:rPr>
          <w:spacing w:val="-6"/>
          <w:sz w:val="24"/>
        </w:rPr>
        <w:t> </w:t>
      </w:r>
      <w:r>
        <w:rPr>
          <w:sz w:val="24"/>
        </w:rPr>
        <w:t>demonstrates</w:t>
      </w:r>
      <w:r>
        <w:rPr>
          <w:spacing w:val="-6"/>
          <w:sz w:val="24"/>
        </w:rPr>
        <w:t> </w:t>
      </w:r>
      <w:r>
        <w:rPr>
          <w:sz w:val="24"/>
        </w:rPr>
        <w:t>unwillingness</w:t>
      </w:r>
      <w:r>
        <w:rPr>
          <w:spacing w:val="-6"/>
          <w:sz w:val="24"/>
        </w:rPr>
        <w:t> </w:t>
      </w:r>
      <w:r>
        <w:rPr>
          <w:sz w:val="24"/>
        </w:rPr>
        <w:t>to</w:t>
      </w:r>
      <w:r>
        <w:rPr>
          <w:spacing w:val="-3"/>
          <w:sz w:val="24"/>
        </w:rPr>
        <w:t> </w:t>
      </w:r>
      <w:r>
        <w:rPr>
          <w:sz w:val="24"/>
        </w:rPr>
        <w:t>participate</w:t>
      </w:r>
      <w:r>
        <w:rPr>
          <w:spacing w:val="-3"/>
          <w:sz w:val="24"/>
        </w:rPr>
        <w:t> </w:t>
      </w:r>
      <w:r>
        <w:rPr>
          <w:sz w:val="24"/>
        </w:rPr>
        <w:t>in</w:t>
      </w:r>
      <w:r>
        <w:rPr>
          <w:spacing w:val="-5"/>
          <w:sz w:val="24"/>
        </w:rPr>
        <w:t> </w:t>
      </w:r>
      <w:r>
        <w:rPr>
          <w:sz w:val="24"/>
        </w:rPr>
        <w:t>professional development to enhance their pedagogy or disciplinary knowledge.</w:t>
      </w:r>
    </w:p>
    <w:p>
      <w:pPr>
        <w:pStyle w:val="ListParagraph"/>
        <w:numPr>
          <w:ilvl w:val="0"/>
          <w:numId w:val="10"/>
        </w:numPr>
        <w:tabs>
          <w:tab w:pos="840" w:val="left" w:leader="none"/>
        </w:tabs>
        <w:spacing w:line="240" w:lineRule="auto" w:before="0" w:after="0"/>
        <w:ind w:left="840" w:right="1295" w:hanging="360"/>
        <w:jc w:val="left"/>
        <w:rPr>
          <w:sz w:val="24"/>
        </w:rPr>
      </w:pPr>
      <w:r>
        <w:rPr>
          <w:sz w:val="24"/>
        </w:rPr>
        <w:t>The</w:t>
      </w:r>
      <w:r>
        <w:rPr>
          <w:spacing w:val="-5"/>
          <w:sz w:val="24"/>
        </w:rPr>
        <w:t> </w:t>
      </w:r>
      <w:r>
        <w:rPr>
          <w:sz w:val="24"/>
        </w:rPr>
        <w:t>faculty</w:t>
      </w:r>
      <w:r>
        <w:rPr>
          <w:spacing w:val="-4"/>
          <w:sz w:val="24"/>
        </w:rPr>
        <w:t> </w:t>
      </w:r>
      <w:r>
        <w:rPr>
          <w:sz w:val="24"/>
        </w:rPr>
        <w:t>member</w:t>
      </w:r>
      <w:r>
        <w:rPr>
          <w:spacing w:val="-6"/>
          <w:sz w:val="24"/>
        </w:rPr>
        <w:t> </w:t>
      </w:r>
      <w:r>
        <w:rPr>
          <w:sz w:val="24"/>
        </w:rPr>
        <w:t>demonstrates</w:t>
      </w:r>
      <w:r>
        <w:rPr>
          <w:spacing w:val="-6"/>
          <w:sz w:val="24"/>
        </w:rPr>
        <w:t> </w:t>
      </w:r>
      <w:r>
        <w:rPr>
          <w:sz w:val="24"/>
        </w:rPr>
        <w:t>unwillingness</w:t>
      </w:r>
      <w:r>
        <w:rPr>
          <w:spacing w:val="-6"/>
          <w:sz w:val="24"/>
        </w:rPr>
        <w:t> </w:t>
      </w:r>
      <w:r>
        <w:rPr>
          <w:sz w:val="24"/>
        </w:rPr>
        <w:t>to</w:t>
      </w:r>
      <w:r>
        <w:rPr>
          <w:spacing w:val="-3"/>
          <w:sz w:val="24"/>
        </w:rPr>
        <w:t> </w:t>
      </w:r>
      <w:r>
        <w:rPr>
          <w:sz w:val="24"/>
        </w:rPr>
        <w:t>participate</w:t>
      </w:r>
      <w:r>
        <w:rPr>
          <w:spacing w:val="-3"/>
          <w:sz w:val="24"/>
        </w:rPr>
        <w:t> </w:t>
      </w:r>
      <w:r>
        <w:rPr>
          <w:sz w:val="24"/>
        </w:rPr>
        <w:t>in</w:t>
      </w:r>
      <w:r>
        <w:rPr>
          <w:spacing w:val="-6"/>
          <w:sz w:val="24"/>
        </w:rPr>
        <w:t> </w:t>
      </w:r>
      <w:r>
        <w:rPr>
          <w:sz w:val="24"/>
        </w:rPr>
        <w:t>professional development to support the School’s teaching mission, values, and goals.</w:t>
      </w:r>
    </w:p>
    <w:p>
      <w:pPr>
        <w:pStyle w:val="ListParagraph"/>
        <w:numPr>
          <w:ilvl w:val="0"/>
          <w:numId w:val="10"/>
        </w:numPr>
        <w:tabs>
          <w:tab w:pos="839" w:val="left" w:leader="none"/>
        </w:tabs>
        <w:spacing w:line="240" w:lineRule="auto" w:before="0" w:after="0"/>
        <w:ind w:left="839" w:right="383" w:hanging="360"/>
        <w:jc w:val="left"/>
        <w:rPr>
          <w:sz w:val="24"/>
        </w:rPr>
      </w:pPr>
      <w:r>
        <w:rPr>
          <w:sz w:val="24"/>
        </w:rPr>
        <w:t>The</w:t>
      </w:r>
      <w:r>
        <w:rPr>
          <w:spacing w:val="-11"/>
          <w:sz w:val="24"/>
        </w:rPr>
        <w:t> </w:t>
      </w:r>
      <w:r>
        <w:rPr>
          <w:sz w:val="24"/>
        </w:rPr>
        <w:t>faculty</w:t>
      </w:r>
      <w:r>
        <w:rPr>
          <w:spacing w:val="-10"/>
          <w:sz w:val="24"/>
        </w:rPr>
        <w:t> </w:t>
      </w:r>
      <w:r>
        <w:rPr>
          <w:sz w:val="24"/>
        </w:rPr>
        <w:t>member</w:t>
      </w:r>
      <w:r>
        <w:rPr>
          <w:spacing w:val="-10"/>
          <w:sz w:val="24"/>
        </w:rPr>
        <w:t> </w:t>
      </w:r>
      <w:r>
        <w:rPr>
          <w:sz w:val="24"/>
        </w:rPr>
        <w:t>does</w:t>
      </w:r>
      <w:r>
        <w:rPr>
          <w:spacing w:val="-10"/>
          <w:sz w:val="24"/>
        </w:rPr>
        <w:t> </w:t>
      </w:r>
      <w:r>
        <w:rPr>
          <w:sz w:val="24"/>
        </w:rPr>
        <w:t>not</w:t>
      </w:r>
      <w:r>
        <w:rPr>
          <w:spacing w:val="-9"/>
          <w:sz w:val="24"/>
        </w:rPr>
        <w:t> </w:t>
      </w:r>
      <w:r>
        <w:rPr>
          <w:sz w:val="24"/>
        </w:rPr>
        <w:t>conduct</w:t>
      </w:r>
      <w:r>
        <w:rPr>
          <w:spacing w:val="-10"/>
          <w:sz w:val="24"/>
        </w:rPr>
        <w:t> </w:t>
      </w:r>
      <w:r>
        <w:rPr>
          <w:sz w:val="24"/>
        </w:rPr>
        <w:t>the</w:t>
      </w:r>
      <w:r>
        <w:rPr>
          <w:spacing w:val="-9"/>
          <w:sz w:val="24"/>
        </w:rPr>
        <w:t> </w:t>
      </w:r>
      <w:r>
        <w:rPr>
          <w:sz w:val="24"/>
        </w:rPr>
        <w:t>class</w:t>
      </w:r>
      <w:r>
        <w:rPr>
          <w:spacing w:val="-10"/>
          <w:sz w:val="24"/>
        </w:rPr>
        <w:t> </w:t>
      </w:r>
      <w:r>
        <w:rPr>
          <w:sz w:val="24"/>
        </w:rPr>
        <w:t>in</w:t>
      </w:r>
      <w:r>
        <w:rPr>
          <w:spacing w:val="-10"/>
          <w:sz w:val="24"/>
        </w:rPr>
        <w:t> </w:t>
      </w:r>
      <w:r>
        <w:rPr>
          <w:sz w:val="24"/>
        </w:rPr>
        <w:t>the</w:t>
      </w:r>
      <w:r>
        <w:rPr>
          <w:spacing w:val="-11"/>
          <w:sz w:val="24"/>
        </w:rPr>
        <w:t> </w:t>
      </w:r>
      <w:r>
        <w:rPr>
          <w:sz w:val="24"/>
        </w:rPr>
        <w:t>appropriately</w:t>
      </w:r>
      <w:r>
        <w:rPr>
          <w:spacing w:val="-10"/>
          <w:sz w:val="24"/>
        </w:rPr>
        <w:t> </w:t>
      </w:r>
      <w:r>
        <w:rPr>
          <w:sz w:val="24"/>
        </w:rPr>
        <w:t>assigned</w:t>
      </w:r>
      <w:r>
        <w:rPr>
          <w:spacing w:val="-9"/>
          <w:sz w:val="24"/>
        </w:rPr>
        <w:t> </w:t>
      </w:r>
      <w:r>
        <w:rPr>
          <w:sz w:val="24"/>
        </w:rPr>
        <w:t>format</w:t>
      </w:r>
      <w:r>
        <w:rPr>
          <w:spacing w:val="-9"/>
          <w:sz w:val="24"/>
        </w:rPr>
        <w:t> </w:t>
      </w:r>
      <w:r>
        <w:rPr>
          <w:sz w:val="24"/>
        </w:rPr>
        <w:t>(in- class, hybrid, on-line).</w:t>
      </w:r>
    </w:p>
    <w:p>
      <w:pPr>
        <w:pStyle w:val="ListParagraph"/>
        <w:numPr>
          <w:ilvl w:val="0"/>
          <w:numId w:val="10"/>
        </w:numPr>
        <w:tabs>
          <w:tab w:pos="839" w:val="left" w:leader="none"/>
        </w:tabs>
        <w:spacing w:line="240" w:lineRule="auto" w:before="0" w:after="0"/>
        <w:ind w:left="839" w:right="398" w:hanging="360"/>
        <w:jc w:val="left"/>
        <w:rPr>
          <w:sz w:val="24"/>
        </w:rPr>
      </w:pPr>
      <w:r>
        <w:rPr>
          <w:sz w:val="24"/>
        </w:rPr>
        <w:t>The</w:t>
      </w:r>
      <w:r>
        <w:rPr>
          <w:spacing w:val="-3"/>
          <w:sz w:val="24"/>
        </w:rPr>
        <w:t> </w:t>
      </w:r>
      <w:r>
        <w:rPr>
          <w:sz w:val="24"/>
        </w:rPr>
        <w:t>faculty</w:t>
      </w:r>
      <w:r>
        <w:rPr>
          <w:spacing w:val="-2"/>
          <w:sz w:val="24"/>
        </w:rPr>
        <w:t> </w:t>
      </w:r>
      <w:r>
        <w:rPr>
          <w:sz w:val="24"/>
        </w:rPr>
        <w:t>member</w:t>
      </w:r>
      <w:r>
        <w:rPr>
          <w:spacing w:val="-4"/>
          <w:sz w:val="24"/>
        </w:rPr>
        <w:t> </w:t>
      </w:r>
      <w:r>
        <w:rPr>
          <w:sz w:val="24"/>
        </w:rPr>
        <w:t>demonstrates</w:t>
      </w:r>
      <w:r>
        <w:rPr>
          <w:spacing w:val="-4"/>
          <w:sz w:val="24"/>
        </w:rPr>
        <w:t> </w:t>
      </w:r>
      <w:r>
        <w:rPr>
          <w:sz w:val="24"/>
        </w:rPr>
        <w:t>unwillingness</w:t>
      </w:r>
      <w:r>
        <w:rPr>
          <w:spacing w:val="-4"/>
          <w:sz w:val="24"/>
        </w:rPr>
        <w:t> </w:t>
      </w:r>
      <w:r>
        <w:rPr>
          <w:sz w:val="24"/>
        </w:rPr>
        <w:t>or</w:t>
      </w:r>
      <w:r>
        <w:rPr>
          <w:spacing w:val="-1"/>
          <w:sz w:val="24"/>
        </w:rPr>
        <w:t> </w:t>
      </w:r>
      <w:r>
        <w:rPr>
          <w:sz w:val="24"/>
        </w:rPr>
        <w:t>an</w:t>
      </w:r>
      <w:r>
        <w:rPr>
          <w:spacing w:val="-3"/>
          <w:sz w:val="24"/>
        </w:rPr>
        <w:t> </w:t>
      </w:r>
      <w:r>
        <w:rPr>
          <w:sz w:val="24"/>
        </w:rPr>
        <w:t>inability</w:t>
      </w:r>
      <w:r>
        <w:rPr>
          <w:spacing w:val="-5"/>
          <w:sz w:val="24"/>
        </w:rPr>
        <w:t> </w:t>
      </w:r>
      <w:r>
        <w:rPr>
          <w:sz w:val="24"/>
        </w:rPr>
        <w:t>to</w:t>
      </w:r>
      <w:r>
        <w:rPr>
          <w:spacing w:val="-3"/>
          <w:sz w:val="24"/>
        </w:rPr>
        <w:t> </w:t>
      </w:r>
      <w:r>
        <w:rPr>
          <w:sz w:val="24"/>
        </w:rPr>
        <w:t>effectively</w:t>
      </w:r>
      <w:r>
        <w:rPr>
          <w:spacing w:val="-2"/>
          <w:sz w:val="24"/>
        </w:rPr>
        <w:t> </w:t>
      </w:r>
      <w:r>
        <w:rPr>
          <w:sz w:val="24"/>
        </w:rPr>
        <w:t>work</w:t>
      </w:r>
      <w:r>
        <w:rPr>
          <w:spacing w:val="-5"/>
          <w:sz w:val="24"/>
        </w:rPr>
        <w:t> </w:t>
      </w:r>
      <w:r>
        <w:rPr>
          <w:sz w:val="24"/>
        </w:rPr>
        <w:t>with others on the curriculum design in their course area.</w:t>
      </w:r>
    </w:p>
    <w:p>
      <w:pPr>
        <w:pStyle w:val="ListParagraph"/>
        <w:numPr>
          <w:ilvl w:val="0"/>
          <w:numId w:val="10"/>
        </w:numPr>
        <w:tabs>
          <w:tab w:pos="839" w:val="left" w:leader="none"/>
        </w:tabs>
        <w:spacing w:line="240" w:lineRule="auto" w:before="0" w:after="0"/>
        <w:ind w:left="839" w:right="267" w:hanging="360"/>
        <w:jc w:val="left"/>
        <w:rPr>
          <w:sz w:val="24"/>
        </w:rPr>
      </w:pPr>
      <w:r>
        <w:rPr>
          <w:sz w:val="24"/>
        </w:rPr>
        <w:t>The</w:t>
      </w:r>
      <w:r>
        <w:rPr>
          <w:spacing w:val="-4"/>
          <w:sz w:val="24"/>
        </w:rPr>
        <w:t> </w:t>
      </w:r>
      <w:r>
        <w:rPr>
          <w:sz w:val="24"/>
        </w:rPr>
        <w:t>faculty</w:t>
      </w:r>
      <w:r>
        <w:rPr>
          <w:spacing w:val="-3"/>
          <w:sz w:val="24"/>
        </w:rPr>
        <w:t> </w:t>
      </w:r>
      <w:r>
        <w:rPr>
          <w:sz w:val="24"/>
        </w:rPr>
        <w:t>member</w:t>
      </w:r>
      <w:r>
        <w:rPr>
          <w:spacing w:val="-5"/>
          <w:sz w:val="24"/>
        </w:rPr>
        <w:t> </w:t>
      </w:r>
      <w:r>
        <w:rPr>
          <w:sz w:val="24"/>
        </w:rPr>
        <w:t>has</w:t>
      </w:r>
      <w:r>
        <w:rPr>
          <w:spacing w:val="-5"/>
          <w:sz w:val="24"/>
        </w:rPr>
        <w:t> </w:t>
      </w:r>
      <w:r>
        <w:rPr>
          <w:sz w:val="24"/>
        </w:rPr>
        <w:t>not</w:t>
      </w:r>
      <w:r>
        <w:rPr>
          <w:spacing w:val="-4"/>
          <w:sz w:val="24"/>
        </w:rPr>
        <w:t> </w:t>
      </w:r>
      <w:r>
        <w:rPr>
          <w:sz w:val="24"/>
        </w:rPr>
        <w:t>completed</w:t>
      </w:r>
      <w:r>
        <w:rPr>
          <w:spacing w:val="-1"/>
          <w:sz w:val="24"/>
        </w:rPr>
        <w:t> </w:t>
      </w:r>
      <w:r>
        <w:rPr>
          <w:sz w:val="24"/>
        </w:rPr>
        <w:t>instruments</w:t>
      </w:r>
      <w:r>
        <w:rPr>
          <w:spacing w:val="-3"/>
          <w:sz w:val="24"/>
        </w:rPr>
        <w:t> </w:t>
      </w:r>
      <w:r>
        <w:rPr>
          <w:sz w:val="24"/>
        </w:rPr>
        <w:t>requested</w:t>
      </w:r>
      <w:r>
        <w:rPr>
          <w:spacing w:val="-4"/>
          <w:sz w:val="24"/>
        </w:rPr>
        <w:t> </w:t>
      </w:r>
      <w:r>
        <w:rPr>
          <w:sz w:val="24"/>
        </w:rPr>
        <w:t>for</w:t>
      </w:r>
      <w:r>
        <w:rPr>
          <w:spacing w:val="-5"/>
          <w:sz w:val="24"/>
        </w:rPr>
        <w:t> </w:t>
      </w:r>
      <w:r>
        <w:rPr>
          <w:sz w:val="24"/>
        </w:rPr>
        <w:t>assurance-of-learning </w:t>
      </w:r>
      <w:r>
        <w:rPr>
          <w:spacing w:val="-2"/>
          <w:sz w:val="24"/>
        </w:rPr>
        <w:t>purposes.</w:t>
      </w:r>
    </w:p>
    <w:p>
      <w:pPr>
        <w:pStyle w:val="ListParagraph"/>
        <w:numPr>
          <w:ilvl w:val="0"/>
          <w:numId w:val="10"/>
        </w:numPr>
        <w:tabs>
          <w:tab w:pos="839" w:val="left" w:leader="none"/>
        </w:tabs>
        <w:spacing w:line="240" w:lineRule="auto" w:before="0" w:after="0"/>
        <w:ind w:left="839" w:right="748" w:hanging="360"/>
        <w:jc w:val="left"/>
        <w:rPr>
          <w:sz w:val="24"/>
        </w:rPr>
      </w:pPr>
      <w:r>
        <w:rPr>
          <w:sz w:val="24"/>
        </w:rPr>
        <w:t>The</w:t>
      </w:r>
      <w:r>
        <w:rPr>
          <w:spacing w:val="-3"/>
          <w:sz w:val="24"/>
        </w:rPr>
        <w:t> </w:t>
      </w:r>
      <w:r>
        <w:rPr>
          <w:sz w:val="24"/>
        </w:rPr>
        <w:t>faculty</w:t>
      </w:r>
      <w:r>
        <w:rPr>
          <w:spacing w:val="-2"/>
          <w:sz w:val="24"/>
        </w:rPr>
        <w:t> </w:t>
      </w:r>
      <w:r>
        <w:rPr>
          <w:sz w:val="24"/>
        </w:rPr>
        <w:t>member</w:t>
      </w:r>
      <w:r>
        <w:rPr>
          <w:spacing w:val="-4"/>
          <w:sz w:val="24"/>
        </w:rPr>
        <w:t> </w:t>
      </w:r>
      <w:r>
        <w:rPr>
          <w:sz w:val="24"/>
        </w:rPr>
        <w:t>is</w:t>
      </w:r>
      <w:r>
        <w:rPr>
          <w:spacing w:val="-2"/>
          <w:sz w:val="24"/>
        </w:rPr>
        <w:t> </w:t>
      </w:r>
      <w:r>
        <w:rPr>
          <w:sz w:val="24"/>
        </w:rPr>
        <w:t>frequently</w:t>
      </w:r>
      <w:r>
        <w:rPr>
          <w:spacing w:val="-5"/>
          <w:sz w:val="24"/>
        </w:rPr>
        <w:t> </w:t>
      </w:r>
      <w:r>
        <w:rPr>
          <w:sz w:val="24"/>
        </w:rPr>
        <w:t>absent</w:t>
      </w:r>
      <w:r>
        <w:rPr>
          <w:spacing w:val="-3"/>
          <w:sz w:val="24"/>
        </w:rPr>
        <w:t> </w:t>
      </w:r>
      <w:r>
        <w:rPr>
          <w:sz w:val="24"/>
        </w:rPr>
        <w:t>without</w:t>
      </w:r>
      <w:r>
        <w:rPr>
          <w:spacing w:val="-5"/>
          <w:sz w:val="24"/>
        </w:rPr>
        <w:t> </w:t>
      </w:r>
      <w:r>
        <w:rPr>
          <w:sz w:val="24"/>
        </w:rPr>
        <w:t>good reason</w:t>
      </w:r>
      <w:r>
        <w:rPr>
          <w:spacing w:val="-3"/>
          <w:sz w:val="24"/>
        </w:rPr>
        <w:t> </w:t>
      </w:r>
      <w:r>
        <w:rPr>
          <w:sz w:val="24"/>
        </w:rPr>
        <w:t>or</w:t>
      </w:r>
      <w:r>
        <w:rPr>
          <w:spacing w:val="-4"/>
          <w:sz w:val="24"/>
        </w:rPr>
        <w:t> </w:t>
      </w:r>
      <w:r>
        <w:rPr>
          <w:sz w:val="24"/>
        </w:rPr>
        <w:t>routinely</w:t>
      </w:r>
      <w:r>
        <w:rPr>
          <w:spacing w:val="-2"/>
          <w:sz w:val="24"/>
        </w:rPr>
        <w:t> </w:t>
      </w:r>
      <w:r>
        <w:rPr>
          <w:sz w:val="24"/>
        </w:rPr>
        <w:t>does</w:t>
      </w:r>
      <w:r>
        <w:rPr>
          <w:spacing w:val="-5"/>
          <w:sz w:val="24"/>
        </w:rPr>
        <w:t> </w:t>
      </w:r>
      <w:r>
        <w:rPr>
          <w:sz w:val="24"/>
        </w:rPr>
        <w:t>not make himself or herself available to meet with students during office hours or designated meetings.</w:t>
      </w:r>
    </w:p>
    <w:p>
      <w:pPr>
        <w:pStyle w:val="ListParagraph"/>
        <w:numPr>
          <w:ilvl w:val="0"/>
          <w:numId w:val="10"/>
        </w:numPr>
        <w:tabs>
          <w:tab w:pos="839" w:val="left" w:leader="none"/>
        </w:tabs>
        <w:spacing w:line="240" w:lineRule="auto" w:before="0" w:after="0"/>
        <w:ind w:left="839" w:right="450" w:hanging="360"/>
        <w:jc w:val="left"/>
        <w:rPr>
          <w:sz w:val="24"/>
        </w:rPr>
      </w:pPr>
      <w:r>
        <w:rPr>
          <w:sz w:val="24"/>
        </w:rPr>
        <w:t>The</w:t>
      </w:r>
      <w:r>
        <w:rPr>
          <w:spacing w:val="-4"/>
          <w:sz w:val="24"/>
        </w:rPr>
        <w:t> </w:t>
      </w:r>
      <w:r>
        <w:rPr>
          <w:sz w:val="24"/>
        </w:rPr>
        <w:t>faculty</w:t>
      </w:r>
      <w:r>
        <w:rPr>
          <w:spacing w:val="-3"/>
          <w:sz w:val="24"/>
        </w:rPr>
        <w:t> </w:t>
      </w:r>
      <w:r>
        <w:rPr>
          <w:sz w:val="24"/>
        </w:rPr>
        <w:t>member</w:t>
      </w:r>
      <w:r>
        <w:rPr>
          <w:spacing w:val="-2"/>
          <w:sz w:val="24"/>
        </w:rPr>
        <w:t> </w:t>
      </w:r>
      <w:r>
        <w:rPr>
          <w:sz w:val="24"/>
        </w:rPr>
        <w:t>creates,</w:t>
      </w:r>
      <w:r>
        <w:rPr>
          <w:spacing w:val="-5"/>
          <w:sz w:val="24"/>
        </w:rPr>
        <w:t> </w:t>
      </w:r>
      <w:r>
        <w:rPr>
          <w:sz w:val="24"/>
        </w:rPr>
        <w:t>fosters,</w:t>
      </w:r>
      <w:r>
        <w:rPr>
          <w:spacing w:val="-2"/>
          <w:sz w:val="24"/>
        </w:rPr>
        <w:t> </w:t>
      </w:r>
      <w:r>
        <w:rPr>
          <w:sz w:val="24"/>
        </w:rPr>
        <w:t>or</w:t>
      </w:r>
      <w:r>
        <w:rPr>
          <w:spacing w:val="-5"/>
          <w:sz w:val="24"/>
        </w:rPr>
        <w:t> </w:t>
      </w:r>
      <w:r>
        <w:rPr>
          <w:sz w:val="24"/>
        </w:rPr>
        <w:t>tolerates</w:t>
      </w:r>
      <w:r>
        <w:rPr>
          <w:spacing w:val="-5"/>
          <w:sz w:val="24"/>
        </w:rPr>
        <w:t> </w:t>
      </w:r>
      <w:r>
        <w:rPr>
          <w:sz w:val="24"/>
        </w:rPr>
        <w:t>an</w:t>
      </w:r>
      <w:r>
        <w:rPr>
          <w:spacing w:val="-1"/>
          <w:sz w:val="24"/>
        </w:rPr>
        <w:t> </w:t>
      </w:r>
      <w:r>
        <w:rPr>
          <w:sz w:val="24"/>
        </w:rPr>
        <w:t>unwelcoming</w:t>
      </w:r>
      <w:r>
        <w:rPr>
          <w:spacing w:val="-5"/>
          <w:sz w:val="24"/>
        </w:rPr>
        <w:t> </w:t>
      </w:r>
      <w:r>
        <w:rPr>
          <w:sz w:val="24"/>
        </w:rPr>
        <w:t>or</w:t>
      </w:r>
      <w:r>
        <w:rPr>
          <w:spacing w:val="-5"/>
          <w:sz w:val="24"/>
        </w:rPr>
        <w:t> </w:t>
      </w:r>
      <w:r>
        <w:rPr>
          <w:sz w:val="24"/>
        </w:rPr>
        <w:t>hostile</w:t>
      </w:r>
      <w:r>
        <w:rPr>
          <w:spacing w:val="-2"/>
          <w:sz w:val="24"/>
        </w:rPr>
        <w:t> </w:t>
      </w:r>
      <w:r>
        <w:rPr>
          <w:sz w:val="24"/>
        </w:rPr>
        <w:t>classroom environment for students or particular groups of students.</w:t>
      </w:r>
    </w:p>
    <w:p>
      <w:pPr>
        <w:pStyle w:val="ListParagraph"/>
        <w:numPr>
          <w:ilvl w:val="0"/>
          <w:numId w:val="10"/>
        </w:numPr>
        <w:tabs>
          <w:tab w:pos="839" w:val="left" w:leader="none"/>
        </w:tabs>
        <w:spacing w:line="240" w:lineRule="auto" w:before="0" w:after="0"/>
        <w:ind w:left="839" w:right="834" w:hanging="360"/>
        <w:jc w:val="left"/>
        <w:rPr>
          <w:sz w:val="24"/>
        </w:rPr>
      </w:pPr>
      <w:r>
        <w:rPr>
          <w:sz w:val="24"/>
        </w:rPr>
        <w:t>The</w:t>
      </w:r>
      <w:r>
        <w:rPr>
          <w:spacing w:val="-4"/>
          <w:sz w:val="24"/>
        </w:rPr>
        <w:t> </w:t>
      </w:r>
      <w:r>
        <w:rPr>
          <w:sz w:val="24"/>
        </w:rPr>
        <w:t>faculty</w:t>
      </w:r>
      <w:r>
        <w:rPr>
          <w:spacing w:val="-3"/>
          <w:sz w:val="24"/>
        </w:rPr>
        <w:t> </w:t>
      </w:r>
      <w:r>
        <w:rPr>
          <w:sz w:val="24"/>
        </w:rPr>
        <w:t>member’s</w:t>
      </w:r>
      <w:r>
        <w:rPr>
          <w:spacing w:val="-5"/>
          <w:sz w:val="24"/>
        </w:rPr>
        <w:t> </w:t>
      </w:r>
      <w:r>
        <w:rPr>
          <w:sz w:val="24"/>
        </w:rPr>
        <w:t>teaching</w:t>
      </w:r>
      <w:r>
        <w:rPr>
          <w:spacing w:val="-3"/>
          <w:sz w:val="24"/>
        </w:rPr>
        <w:t> </w:t>
      </w:r>
      <w:r>
        <w:rPr>
          <w:sz w:val="24"/>
        </w:rPr>
        <w:t>and/or</w:t>
      </w:r>
      <w:r>
        <w:rPr>
          <w:spacing w:val="-2"/>
          <w:sz w:val="24"/>
        </w:rPr>
        <w:t> </w:t>
      </w:r>
      <w:r>
        <w:rPr>
          <w:sz w:val="24"/>
        </w:rPr>
        <w:t>interactions</w:t>
      </w:r>
      <w:r>
        <w:rPr>
          <w:spacing w:val="-3"/>
          <w:sz w:val="24"/>
        </w:rPr>
        <w:t> </w:t>
      </w:r>
      <w:r>
        <w:rPr>
          <w:sz w:val="24"/>
        </w:rPr>
        <w:t>with</w:t>
      </w:r>
      <w:r>
        <w:rPr>
          <w:spacing w:val="-4"/>
          <w:sz w:val="24"/>
        </w:rPr>
        <w:t> </w:t>
      </w:r>
      <w:r>
        <w:rPr>
          <w:sz w:val="24"/>
        </w:rPr>
        <w:t>students</w:t>
      </w:r>
      <w:r>
        <w:rPr>
          <w:spacing w:val="-3"/>
          <w:sz w:val="24"/>
        </w:rPr>
        <w:t> </w:t>
      </w:r>
      <w:r>
        <w:rPr>
          <w:sz w:val="24"/>
        </w:rPr>
        <w:t>is</w:t>
      </w:r>
      <w:r>
        <w:rPr>
          <w:spacing w:val="-5"/>
          <w:sz w:val="24"/>
        </w:rPr>
        <w:t> </w:t>
      </w:r>
      <w:r>
        <w:rPr>
          <w:sz w:val="24"/>
        </w:rPr>
        <w:t>contrary</w:t>
      </w:r>
      <w:r>
        <w:rPr>
          <w:spacing w:val="-3"/>
          <w:sz w:val="24"/>
        </w:rPr>
        <w:t> </w:t>
      </w:r>
      <w:r>
        <w:rPr>
          <w:sz w:val="24"/>
        </w:rPr>
        <w:t>to</w:t>
      </w:r>
      <w:r>
        <w:rPr>
          <w:spacing w:val="-4"/>
          <w:sz w:val="24"/>
        </w:rPr>
        <w:t> </w:t>
      </w:r>
      <w:r>
        <w:rPr>
          <w:sz w:val="24"/>
        </w:rPr>
        <w:t>the School’s teaching mission, values and goals.</w:t>
      </w:r>
    </w:p>
    <w:p>
      <w:pPr>
        <w:pStyle w:val="Heading1"/>
        <w:numPr>
          <w:ilvl w:val="1"/>
          <w:numId w:val="1"/>
        </w:numPr>
        <w:tabs>
          <w:tab w:pos="477" w:val="left" w:leader="none"/>
        </w:tabs>
        <w:spacing w:line="240" w:lineRule="auto" w:before="202" w:after="0"/>
        <w:ind w:left="477" w:right="0" w:hanging="358"/>
        <w:jc w:val="left"/>
      </w:pPr>
      <w:r>
        <w:rPr/>
        <w:t>Service</w:t>
      </w:r>
      <w:r>
        <w:rPr>
          <w:spacing w:val="-9"/>
        </w:rPr>
        <w:t> </w:t>
      </w:r>
      <w:r>
        <w:rPr/>
        <w:t>Ratings</w:t>
      </w:r>
      <w:r>
        <w:rPr>
          <w:spacing w:val="-13"/>
        </w:rPr>
        <w:t> </w:t>
      </w:r>
      <w:r>
        <w:rPr/>
        <w:t>and</w:t>
      </w:r>
      <w:r>
        <w:rPr>
          <w:spacing w:val="-14"/>
        </w:rPr>
        <w:t> </w:t>
      </w:r>
      <w:r>
        <w:rPr/>
        <w:t>Related</w:t>
      </w:r>
      <w:r>
        <w:rPr>
          <w:spacing w:val="-13"/>
        </w:rPr>
        <w:t> </w:t>
      </w:r>
      <w:r>
        <w:rPr>
          <w:spacing w:val="-2"/>
        </w:rPr>
        <w:t>Explanations</w:t>
      </w:r>
    </w:p>
    <w:p>
      <w:pPr>
        <w:pStyle w:val="BodyText"/>
        <w:spacing w:before="24"/>
        <w:rPr>
          <w:b/>
          <w:sz w:val="20"/>
        </w:rPr>
      </w:pPr>
      <w:r>
        <w:rPr/>
        <mc:AlternateContent>
          <mc:Choice Requires="wps">
            <w:drawing>
              <wp:anchor distT="0" distB="0" distL="0" distR="0" allowOverlap="1" layoutInCell="1" locked="0" behindDoc="1" simplePos="0" relativeHeight="487593472">
                <wp:simplePos x="0" y="0"/>
                <wp:positionH relativeFrom="page">
                  <wp:posOffset>914400</wp:posOffset>
                </wp:positionH>
                <wp:positionV relativeFrom="paragraph">
                  <wp:posOffset>186067</wp:posOffset>
                </wp:positionV>
                <wp:extent cx="1828800"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651019pt;width:144pt;height:.599pt;mso-position-horizontal-relative:page;mso-position-vertical-relative:paragraph;z-index:-15723008;mso-wrap-distance-left:0;mso-wrap-distance-right:0" id="docshape12" filled="true" fillcolor="#000000" stroked="false">
                <v:fill type="solid"/>
                <w10:wrap type="topAndBottom"/>
              </v:rect>
            </w:pict>
          </mc:Fallback>
        </mc:AlternateContent>
      </w:r>
    </w:p>
    <w:p>
      <w:pPr>
        <w:spacing w:before="104"/>
        <w:ind w:left="119" w:right="0" w:firstLine="0"/>
        <w:jc w:val="left"/>
        <w:rPr>
          <w:sz w:val="20"/>
        </w:rPr>
      </w:pPr>
      <w:bookmarkStart w:name="_bookmark13" w:id="29"/>
      <w:bookmarkEnd w:id="29"/>
      <w:r>
        <w:rPr/>
      </w:r>
      <w:r>
        <w:rPr>
          <w:sz w:val="20"/>
          <w:vertAlign w:val="superscript"/>
        </w:rPr>
        <w:t>14</w:t>
      </w:r>
      <w:r>
        <w:rPr>
          <w:sz w:val="20"/>
          <w:vertAlign w:val="baseline"/>
        </w:rPr>
        <w:t> The text’s list of potentially relevant considerations is not meant to be all-inclusive. One or more is meant to emphasize</w:t>
      </w:r>
      <w:r>
        <w:rPr>
          <w:spacing w:val="-3"/>
          <w:sz w:val="20"/>
          <w:vertAlign w:val="baseline"/>
        </w:rPr>
        <w:t> </w:t>
      </w:r>
      <w:r>
        <w:rPr>
          <w:sz w:val="20"/>
          <w:vertAlign w:val="baseline"/>
        </w:rPr>
        <w:t>that</w:t>
      </w:r>
      <w:r>
        <w:rPr>
          <w:spacing w:val="-2"/>
          <w:sz w:val="20"/>
          <w:vertAlign w:val="baseline"/>
        </w:rPr>
        <w:t> </w:t>
      </w:r>
      <w:r>
        <w:rPr>
          <w:sz w:val="20"/>
          <w:vertAlign w:val="baseline"/>
        </w:rPr>
        <w:t>evidence</w:t>
      </w:r>
      <w:r>
        <w:rPr>
          <w:spacing w:val="-3"/>
          <w:sz w:val="20"/>
          <w:vertAlign w:val="baseline"/>
        </w:rPr>
        <w:t> </w:t>
      </w:r>
      <w:r>
        <w:rPr>
          <w:sz w:val="20"/>
          <w:vertAlign w:val="baseline"/>
        </w:rPr>
        <w:t>pertaining</w:t>
      </w:r>
      <w:r>
        <w:rPr>
          <w:spacing w:val="-2"/>
          <w:sz w:val="20"/>
          <w:vertAlign w:val="baseline"/>
        </w:rPr>
        <w:t> </w:t>
      </w:r>
      <w:r>
        <w:rPr>
          <w:sz w:val="20"/>
          <w:vertAlign w:val="baseline"/>
        </w:rPr>
        <w:t>to</w:t>
      </w:r>
      <w:r>
        <w:rPr>
          <w:spacing w:val="-2"/>
          <w:sz w:val="20"/>
          <w:vertAlign w:val="baseline"/>
        </w:rPr>
        <w:t> </w:t>
      </w:r>
      <w:r>
        <w:rPr>
          <w:sz w:val="20"/>
          <w:vertAlign w:val="baseline"/>
        </w:rPr>
        <w:t>each</w:t>
      </w:r>
      <w:r>
        <w:rPr>
          <w:spacing w:val="-1"/>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listed</w:t>
      </w:r>
      <w:r>
        <w:rPr>
          <w:spacing w:val="-1"/>
          <w:sz w:val="20"/>
          <w:vertAlign w:val="baseline"/>
        </w:rPr>
        <w:t> </w:t>
      </w:r>
      <w:r>
        <w:rPr>
          <w:sz w:val="20"/>
          <w:vertAlign w:val="baseline"/>
        </w:rPr>
        <w:t>considerations</w:t>
      </w:r>
      <w:r>
        <w:rPr>
          <w:spacing w:val="-1"/>
          <w:sz w:val="20"/>
          <w:vertAlign w:val="baseline"/>
        </w:rPr>
        <w:t> </w:t>
      </w:r>
      <w:r>
        <w:rPr>
          <w:sz w:val="20"/>
          <w:vertAlign w:val="baseline"/>
        </w:rPr>
        <w:t>does</w:t>
      </w:r>
      <w:r>
        <w:rPr>
          <w:spacing w:val="-3"/>
          <w:sz w:val="20"/>
          <w:vertAlign w:val="baseline"/>
        </w:rPr>
        <w:t> </w:t>
      </w:r>
      <w:r>
        <w:rPr>
          <w:sz w:val="20"/>
          <w:vertAlign w:val="baseline"/>
        </w:rPr>
        <w:t>not</w:t>
      </w:r>
      <w:r>
        <w:rPr>
          <w:spacing w:val="-2"/>
          <w:sz w:val="20"/>
          <w:vertAlign w:val="baseline"/>
        </w:rPr>
        <w:t> </w:t>
      </w:r>
      <w:r>
        <w:rPr>
          <w:sz w:val="20"/>
          <w:vertAlign w:val="baseline"/>
        </w:rPr>
        <w:t>need</w:t>
      </w:r>
      <w:r>
        <w:rPr>
          <w:spacing w:val="-1"/>
          <w:sz w:val="20"/>
          <w:vertAlign w:val="baseline"/>
        </w:rPr>
        <w:t> </w:t>
      </w:r>
      <w:r>
        <w:rPr>
          <w:sz w:val="20"/>
          <w:vertAlign w:val="baseline"/>
        </w:rPr>
        <w:t>to</w:t>
      </w:r>
      <w:r>
        <w:rPr>
          <w:spacing w:val="-4"/>
          <w:sz w:val="20"/>
          <w:vertAlign w:val="baseline"/>
        </w:rPr>
        <w:t> </w:t>
      </w:r>
      <w:r>
        <w:rPr>
          <w:sz w:val="20"/>
          <w:vertAlign w:val="baseline"/>
        </w:rPr>
        <w:t>be</w:t>
      </w:r>
      <w:r>
        <w:rPr>
          <w:spacing w:val="-3"/>
          <w:sz w:val="20"/>
          <w:vertAlign w:val="baseline"/>
        </w:rPr>
        <w:t> </w:t>
      </w:r>
      <w:r>
        <w:rPr>
          <w:sz w:val="20"/>
          <w:vertAlign w:val="baseline"/>
        </w:rPr>
        <w:t>present</w:t>
      </w:r>
      <w:r>
        <w:rPr>
          <w:spacing w:val="-2"/>
          <w:sz w:val="20"/>
          <w:vertAlign w:val="baseline"/>
        </w:rPr>
        <w:t> </w:t>
      </w:r>
      <w:r>
        <w:rPr>
          <w:sz w:val="20"/>
          <w:vertAlign w:val="baseline"/>
        </w:rPr>
        <w:t>in</w:t>
      </w:r>
      <w:r>
        <w:rPr>
          <w:spacing w:val="-1"/>
          <w:sz w:val="20"/>
          <w:vertAlign w:val="baseline"/>
        </w:rPr>
        <w:t> </w:t>
      </w:r>
      <w:r>
        <w:rPr>
          <w:sz w:val="20"/>
          <w:vertAlign w:val="baseline"/>
        </w:rPr>
        <w:t>order</w:t>
      </w:r>
      <w:r>
        <w:rPr>
          <w:spacing w:val="-2"/>
          <w:sz w:val="20"/>
          <w:vertAlign w:val="baseline"/>
        </w:rPr>
        <w:t> </w:t>
      </w:r>
      <w:r>
        <w:rPr>
          <w:sz w:val="20"/>
          <w:vertAlign w:val="baseline"/>
        </w:rPr>
        <w:t>for</w:t>
      </w:r>
      <w:r>
        <w:rPr>
          <w:spacing w:val="-2"/>
          <w:sz w:val="20"/>
          <w:vertAlign w:val="baseline"/>
        </w:rPr>
        <w:t> </w:t>
      </w:r>
      <w:r>
        <w:rPr>
          <w:sz w:val="20"/>
          <w:vertAlign w:val="baseline"/>
        </w:rPr>
        <w:t>a rating of unsatisfactory to be warranted.</w:t>
      </w:r>
    </w:p>
    <w:p>
      <w:pPr>
        <w:spacing w:after="0"/>
        <w:jc w:val="left"/>
        <w:rPr>
          <w:sz w:val="20"/>
        </w:rPr>
        <w:sectPr>
          <w:pgSz w:w="12240" w:h="15840"/>
          <w:pgMar w:header="0" w:footer="1712" w:top="1700" w:bottom="1900" w:left="1320" w:right="1180"/>
        </w:sectPr>
      </w:pPr>
    </w:p>
    <w:p>
      <w:pPr>
        <w:pStyle w:val="BodyText"/>
        <w:spacing w:before="32"/>
        <w:ind w:left="120" w:right="178" w:firstLine="720"/>
      </w:pPr>
      <w:r>
        <w:rPr/>
        <w:t>The explanations below note the importance of </w:t>
      </w:r>
      <w:r>
        <w:rPr>
          <w:i/>
        </w:rPr>
        <w:t>quality </w:t>
      </w:r>
      <w:r>
        <w:rPr/>
        <w:t>and </w:t>
      </w:r>
      <w:r>
        <w:rPr>
          <w:i/>
        </w:rPr>
        <w:t>quantity </w:t>
      </w:r>
      <w:r>
        <w:rPr/>
        <w:t>elements in candidates’ service records.</w:t>
      </w:r>
      <w:r>
        <w:rPr>
          <w:spacing w:val="40"/>
        </w:rPr>
        <w:t> </w:t>
      </w:r>
      <w:r>
        <w:rPr>
          <w:i/>
        </w:rPr>
        <w:t>Quality </w:t>
      </w:r>
      <w:r>
        <w:rPr/>
        <w:t>takes into account such factors as the apparent value or importance</w:t>
      </w:r>
      <w:r>
        <w:rPr>
          <w:spacing w:val="-3"/>
        </w:rPr>
        <w:t> </w:t>
      </w:r>
      <w:r>
        <w:rPr/>
        <w:t>of</w:t>
      </w:r>
      <w:r>
        <w:rPr>
          <w:spacing w:val="-3"/>
        </w:rPr>
        <w:t> </w:t>
      </w:r>
      <w:r>
        <w:rPr/>
        <w:t>a</w:t>
      </w:r>
      <w:r>
        <w:rPr>
          <w:spacing w:val="-1"/>
        </w:rPr>
        <w:t> </w:t>
      </w:r>
      <w:r>
        <w:rPr/>
        <w:t>certain</w:t>
      </w:r>
      <w:r>
        <w:rPr>
          <w:spacing w:val="-3"/>
        </w:rPr>
        <w:t> </w:t>
      </w:r>
      <w:r>
        <w:rPr/>
        <w:t>service</w:t>
      </w:r>
      <w:r>
        <w:rPr>
          <w:spacing w:val="-1"/>
        </w:rPr>
        <w:t> </w:t>
      </w:r>
      <w:r>
        <w:rPr/>
        <w:t>activity</w:t>
      </w:r>
      <w:r>
        <w:rPr>
          <w:spacing w:val="-5"/>
        </w:rPr>
        <w:t> </w:t>
      </w:r>
      <w:r>
        <w:rPr/>
        <w:t>and</w:t>
      </w:r>
      <w:r>
        <w:rPr>
          <w:spacing w:val="-3"/>
        </w:rPr>
        <w:t> </w:t>
      </w:r>
      <w:r>
        <w:rPr/>
        <w:t>the</w:t>
      </w:r>
      <w:r>
        <w:rPr>
          <w:spacing w:val="-1"/>
        </w:rPr>
        <w:t> </w:t>
      </w:r>
      <w:r>
        <w:rPr/>
        <w:t>candidate’s</w:t>
      </w:r>
      <w:r>
        <w:rPr>
          <w:spacing w:val="-4"/>
        </w:rPr>
        <w:t> </w:t>
      </w:r>
      <w:r>
        <w:rPr/>
        <w:t>role</w:t>
      </w:r>
      <w:r>
        <w:rPr>
          <w:spacing w:val="-3"/>
        </w:rPr>
        <w:t> </w:t>
      </w:r>
      <w:r>
        <w:rPr/>
        <w:t>in</w:t>
      </w:r>
      <w:r>
        <w:rPr>
          <w:spacing w:val="-3"/>
        </w:rPr>
        <w:t> </w:t>
      </w:r>
      <w:r>
        <w:rPr/>
        <w:t>that</w:t>
      </w:r>
      <w:r>
        <w:rPr>
          <w:spacing w:val="-3"/>
        </w:rPr>
        <w:t> </w:t>
      </w:r>
      <w:r>
        <w:rPr/>
        <w:t>particular</w:t>
      </w:r>
      <w:r>
        <w:rPr>
          <w:spacing w:val="-1"/>
        </w:rPr>
        <w:t> </w:t>
      </w:r>
      <w:r>
        <w:rPr/>
        <w:t>service</w:t>
      </w:r>
      <w:r>
        <w:rPr>
          <w:spacing w:val="-1"/>
        </w:rPr>
        <w:t> </w:t>
      </w:r>
      <w:r>
        <w:rPr/>
        <w:t>activity. </w:t>
      </w:r>
      <w:r>
        <w:rPr>
          <w:i/>
        </w:rPr>
        <w:t>Quantity </w:t>
      </w:r>
      <w:r>
        <w:rPr/>
        <w:t>takes into account the number of service activities and the time commitment associated with those activities. A service record that seems substantial in terms of number of such activities and/or time commitment involved should satisfy the quantity element of the evaluation. As the preceding sentence suggests, the quantity element may be satisfied by a record of relevant service activities that may</w:t>
      </w:r>
      <w:r>
        <w:rPr>
          <w:spacing w:val="-2"/>
        </w:rPr>
        <w:t> </w:t>
      </w:r>
      <w:r>
        <w:rPr/>
        <w:t>not</w:t>
      </w:r>
      <w:r>
        <w:rPr>
          <w:spacing w:val="-2"/>
        </w:rPr>
        <w:t> </w:t>
      </w:r>
      <w:r>
        <w:rPr/>
        <w:t>seem extensive in terms</w:t>
      </w:r>
      <w:r>
        <w:rPr>
          <w:spacing w:val="-4"/>
        </w:rPr>
        <w:t> </w:t>
      </w:r>
      <w:r>
        <w:rPr/>
        <w:t>of number</w:t>
      </w:r>
      <w:r>
        <w:rPr>
          <w:spacing w:val="-1"/>
        </w:rPr>
        <w:t> </w:t>
      </w:r>
      <w:r>
        <w:rPr/>
        <w:t>of activities but is significant in terms of the time commitment involved or the importance of the service task.</w:t>
      </w:r>
      <w:hyperlink w:history="true" w:anchor="_bookmark14">
        <w:r>
          <w:rPr>
            <w:vertAlign w:val="superscript"/>
          </w:rPr>
          <w:t>15</w:t>
        </w:r>
      </w:hyperlink>
      <w:r>
        <w:rPr>
          <w:vertAlign w:val="baseline"/>
        </w:rPr>
        <w:t> The quantity element may be lacking when the list of relevant service activities seems both short and reflective of only minor time commitments.</w:t>
      </w:r>
    </w:p>
    <w:p>
      <w:pPr>
        <w:pStyle w:val="BodyText"/>
        <w:spacing w:before="241"/>
        <w:ind w:left="119" w:right="191" w:firstLine="720"/>
      </w:pPr>
      <w:r>
        <w:rPr/>
        <w:t>With</w:t>
      </w:r>
      <w:r>
        <w:rPr>
          <w:spacing w:val="-4"/>
        </w:rPr>
        <w:t> </w:t>
      </w:r>
      <w:r>
        <w:rPr/>
        <w:t>the</w:t>
      </w:r>
      <w:r>
        <w:rPr>
          <w:spacing w:val="-2"/>
        </w:rPr>
        <w:t> </w:t>
      </w:r>
      <w:r>
        <w:rPr/>
        <w:t>general</w:t>
      </w:r>
      <w:r>
        <w:rPr>
          <w:spacing w:val="-5"/>
        </w:rPr>
        <w:t> </w:t>
      </w:r>
      <w:r>
        <w:rPr/>
        <w:t>comments</w:t>
      </w:r>
      <w:r>
        <w:rPr>
          <w:spacing w:val="-3"/>
        </w:rPr>
        <w:t> </w:t>
      </w:r>
      <w:r>
        <w:rPr/>
        <w:t>above</w:t>
      </w:r>
      <w:r>
        <w:rPr>
          <w:spacing w:val="-4"/>
        </w:rPr>
        <w:t> </w:t>
      </w:r>
      <w:r>
        <w:rPr/>
        <w:t>as</w:t>
      </w:r>
      <w:r>
        <w:rPr>
          <w:spacing w:val="-3"/>
        </w:rPr>
        <w:t> </w:t>
      </w:r>
      <w:r>
        <w:rPr/>
        <w:t>a</w:t>
      </w:r>
      <w:r>
        <w:rPr>
          <w:spacing w:val="-5"/>
        </w:rPr>
        <w:t> </w:t>
      </w:r>
      <w:r>
        <w:rPr/>
        <w:t>foundation,</w:t>
      </w:r>
      <w:r>
        <w:rPr>
          <w:spacing w:val="-2"/>
        </w:rPr>
        <w:t> </w:t>
      </w:r>
      <w:r>
        <w:rPr/>
        <w:t>the</w:t>
      </w:r>
      <w:r>
        <w:rPr>
          <w:spacing w:val="-4"/>
        </w:rPr>
        <w:t> </w:t>
      </w:r>
      <w:r>
        <w:rPr/>
        <w:t>following</w:t>
      </w:r>
      <w:r>
        <w:rPr>
          <w:spacing w:val="-3"/>
        </w:rPr>
        <w:t> </w:t>
      </w:r>
      <w:r>
        <w:rPr/>
        <w:t>paragraphs</w:t>
      </w:r>
      <w:r>
        <w:rPr>
          <w:spacing w:val="-3"/>
        </w:rPr>
        <w:t> </w:t>
      </w:r>
      <w:r>
        <w:rPr/>
        <w:t>provide specific descriptions of each of the service ratings that may be assigned.</w:t>
      </w:r>
    </w:p>
    <w:p>
      <w:pPr>
        <w:pStyle w:val="BodyText"/>
        <w:spacing w:before="239"/>
        <w:ind w:left="119" w:right="173" w:firstLine="720"/>
      </w:pPr>
      <w:r>
        <w:rPr>
          <w:b/>
          <w:i/>
        </w:rPr>
        <w:t>Excellent</w:t>
      </w:r>
      <w:r>
        <w:rPr>
          <w:b/>
        </w:rPr>
        <w:t>.</w:t>
      </w:r>
      <w:r>
        <w:rPr>
          <w:b/>
          <w:spacing w:val="40"/>
        </w:rPr>
        <w:t> </w:t>
      </w:r>
      <w:r>
        <w:rPr/>
        <w:t>To demonstrate excellence in service, a candidate should have achieved a position of stature resulting from the candidate’s service activities. Distinguished contributions must be evident. Indicators of leadership may include published articles or other materials that are service-related, service awards, service-related best practices recognition, the receipt of service-related</w:t>
      </w:r>
      <w:r>
        <w:rPr>
          <w:spacing w:val="-5"/>
        </w:rPr>
        <w:t> </w:t>
      </w:r>
      <w:r>
        <w:rPr/>
        <w:t>grants,</w:t>
      </w:r>
      <w:r>
        <w:rPr>
          <w:spacing w:val="-3"/>
        </w:rPr>
        <w:t> </w:t>
      </w:r>
      <w:r>
        <w:rPr/>
        <w:t>and</w:t>
      </w:r>
      <w:r>
        <w:rPr>
          <w:spacing w:val="-5"/>
        </w:rPr>
        <w:t> </w:t>
      </w:r>
      <w:r>
        <w:rPr/>
        <w:t>presentations</w:t>
      </w:r>
      <w:r>
        <w:rPr>
          <w:spacing w:val="-4"/>
        </w:rPr>
        <w:t> </w:t>
      </w:r>
      <w:r>
        <w:rPr/>
        <w:t>on</w:t>
      </w:r>
      <w:r>
        <w:rPr>
          <w:spacing w:val="-2"/>
        </w:rPr>
        <w:t> </w:t>
      </w:r>
      <w:r>
        <w:rPr/>
        <w:t>service</w:t>
      </w:r>
      <w:r>
        <w:rPr>
          <w:spacing w:val="-3"/>
        </w:rPr>
        <w:t> </w:t>
      </w:r>
      <w:r>
        <w:rPr/>
        <w:t>at</w:t>
      </w:r>
      <w:r>
        <w:rPr>
          <w:spacing w:val="-5"/>
        </w:rPr>
        <w:t> </w:t>
      </w:r>
      <w:r>
        <w:rPr/>
        <w:t>national/international</w:t>
      </w:r>
      <w:r>
        <w:rPr>
          <w:spacing w:val="-3"/>
        </w:rPr>
        <w:t> </w:t>
      </w:r>
      <w:r>
        <w:rPr/>
        <w:t>conferences.</w:t>
      </w:r>
      <w:r>
        <w:rPr>
          <w:spacing w:val="-4"/>
        </w:rPr>
        <w:t> </w:t>
      </w:r>
      <w:r>
        <w:rPr/>
        <w:t>These distinguished contributions could be administrative or institutional in nature, or could arise through outstanding service to a disciplinary endeavor, governmental organization, professional organization or journal (examples include editorships, board positions, conference chairs, leadership roles of organizations), or some other entity or cause with regional and/or national reach and relevance.</w:t>
      </w:r>
    </w:p>
    <w:p>
      <w:pPr>
        <w:pStyle w:val="BodyText"/>
        <w:spacing w:before="1"/>
      </w:pPr>
    </w:p>
    <w:p>
      <w:pPr>
        <w:pStyle w:val="BodyText"/>
        <w:ind w:left="119" w:right="118" w:firstLine="720"/>
      </w:pPr>
      <w:r>
        <w:rPr/>
        <w:t>An excellent service record includes significant contributions at the local campus level in service activities such as the following: service on department, Kelley School, campus, or University committees; efforts and contributions that enhance the School’s service mission, values, and goals; efforts to engage students with business professionals or with professional communities; leadership of or participation in departmental, school, or campus activities that support teaching and student learning; involvement with student groups/clubs that facilitate student</w:t>
      </w:r>
      <w:r>
        <w:rPr>
          <w:spacing w:val="-4"/>
        </w:rPr>
        <w:t> </w:t>
      </w:r>
      <w:r>
        <w:rPr/>
        <w:t>learning</w:t>
      </w:r>
      <w:r>
        <w:rPr>
          <w:spacing w:val="-4"/>
        </w:rPr>
        <w:t> </w:t>
      </w:r>
      <w:r>
        <w:rPr/>
        <w:t>outside</w:t>
      </w:r>
      <w:r>
        <w:rPr>
          <w:spacing w:val="-4"/>
        </w:rPr>
        <w:t> </w:t>
      </w:r>
      <w:r>
        <w:rPr/>
        <w:t>the</w:t>
      </w:r>
      <w:r>
        <w:rPr>
          <w:spacing w:val="-4"/>
        </w:rPr>
        <w:t> </w:t>
      </w:r>
      <w:r>
        <w:rPr/>
        <w:t>classroom;</w:t>
      </w:r>
      <w:r>
        <w:rPr>
          <w:spacing w:val="-4"/>
        </w:rPr>
        <w:t> </w:t>
      </w:r>
      <w:r>
        <w:rPr/>
        <w:t>and</w:t>
      </w:r>
      <w:r>
        <w:rPr>
          <w:spacing w:val="-1"/>
        </w:rPr>
        <w:t> </w:t>
      </w:r>
      <w:r>
        <w:rPr/>
        <w:t>administrative</w:t>
      </w:r>
      <w:r>
        <w:rPr>
          <w:spacing w:val="-2"/>
        </w:rPr>
        <w:t> </w:t>
      </w:r>
      <w:r>
        <w:rPr/>
        <w:t>service,</w:t>
      </w:r>
      <w:r>
        <w:rPr>
          <w:spacing w:val="-4"/>
        </w:rPr>
        <w:t> </w:t>
      </w:r>
      <w:r>
        <w:rPr/>
        <w:t>if</w:t>
      </w:r>
      <w:r>
        <w:rPr>
          <w:spacing w:val="-4"/>
        </w:rPr>
        <w:t> </w:t>
      </w:r>
      <w:r>
        <w:rPr/>
        <w:t>such</w:t>
      </w:r>
      <w:r>
        <w:rPr>
          <w:spacing w:val="-4"/>
        </w:rPr>
        <w:t> </w:t>
      </w:r>
      <w:r>
        <w:rPr/>
        <w:t>an</w:t>
      </w:r>
      <w:r>
        <w:rPr>
          <w:spacing w:val="-1"/>
        </w:rPr>
        <w:t> </w:t>
      </w:r>
      <w:r>
        <w:rPr/>
        <w:t>opportunity</w:t>
      </w:r>
      <w:r>
        <w:rPr>
          <w:spacing w:val="-5"/>
        </w:rPr>
        <w:t> </w:t>
      </w:r>
      <w:r>
        <w:rPr/>
        <w:t>arose.</w:t>
      </w:r>
    </w:p>
    <w:p>
      <w:pPr>
        <w:pStyle w:val="BodyText"/>
        <w:spacing w:line="237" w:lineRule="auto" w:before="291"/>
        <w:ind w:left="119" w:right="182" w:firstLine="840"/>
      </w:pPr>
      <w:r>
        <w:rPr/>
        <w:t>For</w:t>
      </w:r>
      <w:r>
        <w:rPr>
          <w:spacing w:val="-3"/>
        </w:rPr>
        <w:t> </w:t>
      </w:r>
      <w:r>
        <w:rPr/>
        <w:t>promotion</w:t>
      </w:r>
      <w:r>
        <w:rPr>
          <w:spacing w:val="-5"/>
        </w:rPr>
        <w:t> </w:t>
      </w:r>
      <w:r>
        <w:rPr/>
        <w:t>to</w:t>
      </w:r>
      <w:r>
        <w:rPr>
          <w:spacing w:val="-5"/>
        </w:rPr>
        <w:t> </w:t>
      </w:r>
      <w:r>
        <w:rPr/>
        <w:t>Associate</w:t>
      </w:r>
      <w:r>
        <w:rPr>
          <w:spacing w:val="-3"/>
        </w:rPr>
        <w:t> </w:t>
      </w:r>
      <w:r>
        <w:rPr/>
        <w:t>Clinical</w:t>
      </w:r>
      <w:r>
        <w:rPr>
          <w:spacing w:val="-3"/>
        </w:rPr>
        <w:t> </w:t>
      </w:r>
      <w:r>
        <w:rPr/>
        <w:t>Professor,</w:t>
      </w:r>
      <w:r>
        <w:rPr>
          <w:spacing w:val="-6"/>
        </w:rPr>
        <w:t> </w:t>
      </w:r>
      <w:r>
        <w:rPr/>
        <w:t>indicators</w:t>
      </w:r>
      <w:r>
        <w:rPr>
          <w:spacing w:val="-6"/>
        </w:rPr>
        <w:t> </w:t>
      </w:r>
      <w:r>
        <w:rPr/>
        <w:t>of</w:t>
      </w:r>
      <w:r>
        <w:rPr>
          <w:spacing w:val="-5"/>
        </w:rPr>
        <w:t> </w:t>
      </w:r>
      <w:r>
        <w:rPr/>
        <w:t>leadership</w:t>
      </w:r>
      <w:r>
        <w:rPr>
          <w:spacing w:val="-2"/>
        </w:rPr>
        <w:t> </w:t>
      </w:r>
      <w:r>
        <w:rPr/>
        <w:t>may</w:t>
      </w:r>
      <w:r>
        <w:rPr>
          <w:spacing w:val="-4"/>
        </w:rPr>
        <w:t> </w:t>
      </w:r>
      <w:r>
        <w:rPr/>
        <w:t>include quality academic or professional peer-reviewed scholarship and presentations, published</w:t>
      </w:r>
    </w:p>
    <w:p>
      <w:pPr>
        <w:pStyle w:val="BodyText"/>
        <w:spacing w:before="156"/>
        <w:rPr>
          <w:sz w:val="20"/>
        </w:rPr>
      </w:pPr>
      <w:r>
        <w:rPr/>
        <mc:AlternateContent>
          <mc:Choice Requires="wps">
            <w:drawing>
              <wp:anchor distT="0" distB="0" distL="0" distR="0" allowOverlap="1" layoutInCell="1" locked="0" behindDoc="1" simplePos="0" relativeHeight="487593984">
                <wp:simplePos x="0" y="0"/>
                <wp:positionH relativeFrom="page">
                  <wp:posOffset>914400</wp:posOffset>
                </wp:positionH>
                <wp:positionV relativeFrom="paragraph">
                  <wp:posOffset>269437</wp:posOffset>
                </wp:positionV>
                <wp:extent cx="1828800" cy="76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1.21553pt;width:144pt;height:.599pt;mso-position-horizontal-relative:page;mso-position-vertical-relative:paragraph;z-index:-15722496;mso-wrap-distance-left:0;mso-wrap-distance-right:0" id="docshape13" filled="true" fillcolor="#000000" stroked="false">
                <v:fill type="solid"/>
                <w10:wrap type="topAndBottom"/>
              </v:rect>
            </w:pict>
          </mc:Fallback>
        </mc:AlternateContent>
      </w:r>
    </w:p>
    <w:p>
      <w:pPr>
        <w:spacing w:line="247" w:lineRule="auto" w:before="99"/>
        <w:ind w:left="120" w:right="118" w:hanging="1"/>
        <w:jc w:val="left"/>
        <w:rPr>
          <w:sz w:val="20"/>
        </w:rPr>
      </w:pPr>
      <w:bookmarkStart w:name="_bookmark14" w:id="30"/>
      <w:bookmarkEnd w:id="30"/>
      <w:r>
        <w:rPr/>
      </w:r>
      <w:r>
        <w:rPr>
          <w:position w:val="8"/>
          <w:sz w:val="16"/>
        </w:rPr>
        <w:t>15</w:t>
      </w:r>
      <w:r>
        <w:rPr>
          <w:spacing w:val="25"/>
          <w:position w:val="8"/>
          <w:sz w:val="16"/>
        </w:rPr>
        <w:t> </w:t>
      </w:r>
      <w:r>
        <w:rPr>
          <w:sz w:val="20"/>
        </w:rPr>
        <w:t>Although a service record worthy of a highly favorable evaluation would normally be expected to reflect significance in terms of both quantity and quality, there may be cases in which evidence of very valuable service contributions</w:t>
      </w:r>
      <w:r>
        <w:rPr>
          <w:spacing w:val="-2"/>
          <w:sz w:val="20"/>
        </w:rPr>
        <w:t> </w:t>
      </w:r>
      <w:r>
        <w:rPr>
          <w:sz w:val="20"/>
        </w:rPr>
        <w:t>causes</w:t>
      </w:r>
      <w:r>
        <w:rPr>
          <w:spacing w:val="-2"/>
          <w:sz w:val="20"/>
        </w:rPr>
        <w:t> </w:t>
      </w:r>
      <w:r>
        <w:rPr>
          <w:sz w:val="20"/>
        </w:rPr>
        <w:t>the</w:t>
      </w:r>
      <w:r>
        <w:rPr>
          <w:spacing w:val="-4"/>
          <w:sz w:val="20"/>
        </w:rPr>
        <w:t> </w:t>
      </w:r>
      <w:r>
        <w:rPr>
          <w:sz w:val="20"/>
        </w:rPr>
        <w:t>quality</w:t>
      </w:r>
      <w:r>
        <w:rPr>
          <w:spacing w:val="-2"/>
          <w:sz w:val="20"/>
        </w:rPr>
        <w:t> </w:t>
      </w:r>
      <w:r>
        <w:rPr>
          <w:sz w:val="20"/>
        </w:rPr>
        <w:t>dimension</w:t>
      </w:r>
      <w:r>
        <w:rPr>
          <w:spacing w:val="-2"/>
          <w:sz w:val="20"/>
        </w:rPr>
        <w:t> </w:t>
      </w:r>
      <w:r>
        <w:rPr>
          <w:sz w:val="20"/>
        </w:rPr>
        <w:t>to</w:t>
      </w:r>
      <w:r>
        <w:rPr>
          <w:spacing w:val="-3"/>
          <w:sz w:val="20"/>
        </w:rPr>
        <w:t> </w:t>
      </w:r>
      <w:r>
        <w:rPr>
          <w:sz w:val="20"/>
        </w:rPr>
        <w:t>offset</w:t>
      </w:r>
      <w:r>
        <w:rPr>
          <w:spacing w:val="-3"/>
          <w:sz w:val="20"/>
        </w:rPr>
        <w:t> </w:t>
      </w:r>
      <w:r>
        <w:rPr>
          <w:sz w:val="20"/>
        </w:rPr>
        <w:t>what</w:t>
      </w:r>
      <w:r>
        <w:rPr>
          <w:spacing w:val="-3"/>
          <w:sz w:val="20"/>
        </w:rPr>
        <w:t> </w:t>
      </w:r>
      <w:r>
        <w:rPr>
          <w:sz w:val="20"/>
        </w:rPr>
        <w:t>might</w:t>
      </w:r>
      <w:r>
        <w:rPr>
          <w:spacing w:val="-3"/>
          <w:sz w:val="20"/>
        </w:rPr>
        <w:t> </w:t>
      </w:r>
      <w:r>
        <w:rPr>
          <w:sz w:val="20"/>
        </w:rPr>
        <w:t>otherwise</w:t>
      </w:r>
      <w:r>
        <w:rPr>
          <w:spacing w:val="-4"/>
          <w:sz w:val="20"/>
        </w:rPr>
        <w:t> </w:t>
      </w:r>
      <w:r>
        <w:rPr>
          <w:sz w:val="20"/>
        </w:rPr>
        <w:t>have</w:t>
      </w:r>
      <w:r>
        <w:rPr>
          <w:spacing w:val="-4"/>
          <w:sz w:val="20"/>
        </w:rPr>
        <w:t> </w:t>
      </w:r>
      <w:r>
        <w:rPr>
          <w:sz w:val="20"/>
        </w:rPr>
        <w:t>appeared to</w:t>
      </w:r>
      <w:r>
        <w:rPr>
          <w:spacing w:val="-3"/>
          <w:sz w:val="20"/>
        </w:rPr>
        <w:t> </w:t>
      </w:r>
      <w:r>
        <w:rPr>
          <w:sz w:val="20"/>
        </w:rPr>
        <w:t>be</w:t>
      </w:r>
      <w:r>
        <w:rPr>
          <w:spacing w:val="-4"/>
          <w:sz w:val="20"/>
        </w:rPr>
        <w:t> </w:t>
      </w:r>
      <w:r>
        <w:rPr>
          <w:sz w:val="20"/>
        </w:rPr>
        <w:t>a</w:t>
      </w:r>
      <w:r>
        <w:rPr>
          <w:spacing w:val="-2"/>
          <w:sz w:val="20"/>
        </w:rPr>
        <w:t> </w:t>
      </w:r>
      <w:r>
        <w:rPr>
          <w:sz w:val="20"/>
        </w:rPr>
        <w:t>quantity</w:t>
      </w:r>
      <w:r>
        <w:rPr>
          <w:spacing w:val="-2"/>
          <w:sz w:val="20"/>
        </w:rPr>
        <w:t> </w:t>
      </w:r>
      <w:r>
        <w:rPr>
          <w:sz w:val="20"/>
        </w:rPr>
        <w:t>shortfall.</w:t>
      </w:r>
    </w:p>
    <w:p>
      <w:pPr>
        <w:spacing w:after="0" w:line="247" w:lineRule="auto"/>
        <w:jc w:val="left"/>
        <w:rPr>
          <w:sz w:val="20"/>
        </w:rPr>
        <w:sectPr>
          <w:pgSz w:w="12240" w:h="15840"/>
          <w:pgMar w:header="0" w:footer="1712" w:top="1700" w:bottom="1980" w:left="1320" w:right="1180"/>
        </w:sectPr>
      </w:pPr>
    </w:p>
    <w:p>
      <w:pPr>
        <w:pStyle w:val="BodyText"/>
        <w:spacing w:line="237" w:lineRule="auto" w:before="39"/>
        <w:ind w:left="120" w:right="700"/>
      </w:pPr>
      <w:r>
        <w:rPr/>
        <w:t>books/chapters/manuals,</w:t>
      </w:r>
      <w:r>
        <w:rPr>
          <w:spacing w:val="-5"/>
        </w:rPr>
        <w:t> </w:t>
      </w:r>
      <w:r>
        <w:rPr/>
        <w:t>contributions</w:t>
      </w:r>
      <w:r>
        <w:rPr>
          <w:spacing w:val="-8"/>
        </w:rPr>
        <w:t> </w:t>
      </w:r>
      <w:r>
        <w:rPr/>
        <w:t>to</w:t>
      </w:r>
      <w:r>
        <w:rPr>
          <w:spacing w:val="-5"/>
        </w:rPr>
        <w:t> </w:t>
      </w:r>
      <w:r>
        <w:rPr/>
        <w:t>local/national</w:t>
      </w:r>
      <w:r>
        <w:rPr>
          <w:spacing w:val="-5"/>
        </w:rPr>
        <w:t> </w:t>
      </w:r>
      <w:r>
        <w:rPr/>
        <w:t>media,</w:t>
      </w:r>
      <w:r>
        <w:rPr>
          <w:spacing w:val="-8"/>
        </w:rPr>
        <w:t> </w:t>
      </w:r>
      <w:r>
        <w:rPr/>
        <w:t>blogs/podcasts,</w:t>
      </w:r>
      <w:r>
        <w:rPr>
          <w:spacing w:val="-5"/>
        </w:rPr>
        <w:t> </w:t>
      </w:r>
      <w:r>
        <w:rPr/>
        <w:t>grants, editorships, community leadership, and/or other contributions to the dissemination of service contributions. Dissemination to others is further defined in Appendix 2.</w:t>
      </w:r>
    </w:p>
    <w:p>
      <w:pPr>
        <w:pStyle w:val="BodyText"/>
        <w:spacing w:before="292"/>
        <w:ind w:left="120" w:firstLine="720"/>
      </w:pPr>
      <w:r>
        <w:rPr/>
        <w:t>For promotion</w:t>
      </w:r>
      <w:r>
        <w:rPr>
          <w:spacing w:val="-1"/>
        </w:rPr>
        <w:t> </w:t>
      </w:r>
      <w:r>
        <w:rPr/>
        <w:t>to</w:t>
      </w:r>
      <w:r>
        <w:rPr>
          <w:spacing w:val="-1"/>
        </w:rPr>
        <w:t> </w:t>
      </w:r>
      <w:r>
        <w:rPr/>
        <w:t>Clinical</w:t>
      </w:r>
      <w:r>
        <w:rPr>
          <w:spacing w:val="-2"/>
        </w:rPr>
        <w:t> </w:t>
      </w:r>
      <w:r>
        <w:rPr/>
        <w:t>Professor,</w:t>
      </w:r>
      <w:r>
        <w:rPr>
          <w:spacing w:val="-2"/>
        </w:rPr>
        <w:t> </w:t>
      </w:r>
      <w:r>
        <w:rPr/>
        <w:t>the Clinical</w:t>
      </w:r>
      <w:r>
        <w:rPr>
          <w:spacing w:val="-2"/>
        </w:rPr>
        <w:t> </w:t>
      </w:r>
      <w:r>
        <w:rPr/>
        <w:t>faculty member</w:t>
      </w:r>
      <w:r>
        <w:rPr>
          <w:spacing w:val="-2"/>
        </w:rPr>
        <w:t> </w:t>
      </w:r>
      <w:r>
        <w:rPr/>
        <w:t>demonstrates reflection, evidence of learning, scholarship in one or more areas, and leadership. Leadership may focus primarily</w:t>
      </w:r>
      <w:r>
        <w:rPr>
          <w:spacing w:val="-3"/>
        </w:rPr>
        <w:t> </w:t>
      </w:r>
      <w:r>
        <w:rPr/>
        <w:t>on</w:t>
      </w:r>
      <w:r>
        <w:rPr>
          <w:spacing w:val="-1"/>
        </w:rPr>
        <w:t> </w:t>
      </w:r>
      <w:r>
        <w:rPr/>
        <w:t>an</w:t>
      </w:r>
      <w:r>
        <w:rPr>
          <w:spacing w:val="-1"/>
        </w:rPr>
        <w:t> </w:t>
      </w:r>
      <w:r>
        <w:rPr/>
        <w:t>individual</w:t>
      </w:r>
      <w:r>
        <w:rPr>
          <w:spacing w:val="-2"/>
        </w:rPr>
        <w:t> </w:t>
      </w:r>
      <w:r>
        <w:rPr/>
        <w:t>path</w:t>
      </w:r>
      <w:r>
        <w:rPr>
          <w:spacing w:val="-4"/>
        </w:rPr>
        <w:t> </w:t>
      </w:r>
      <w:r>
        <w:rPr/>
        <w:t>or</w:t>
      </w:r>
      <w:r>
        <w:rPr>
          <w:spacing w:val="-2"/>
        </w:rPr>
        <w:t> </w:t>
      </w:r>
      <w:r>
        <w:rPr/>
        <w:t>may</w:t>
      </w:r>
      <w:r>
        <w:rPr>
          <w:spacing w:val="-6"/>
        </w:rPr>
        <w:t> </w:t>
      </w:r>
      <w:r>
        <w:rPr/>
        <w:t>leverage</w:t>
      </w:r>
      <w:r>
        <w:rPr>
          <w:spacing w:val="-4"/>
        </w:rPr>
        <w:t> </w:t>
      </w:r>
      <w:r>
        <w:rPr/>
        <w:t>activities</w:t>
      </w:r>
      <w:r>
        <w:rPr>
          <w:spacing w:val="-5"/>
        </w:rPr>
        <w:t> </w:t>
      </w:r>
      <w:r>
        <w:rPr/>
        <w:t>across</w:t>
      </w:r>
      <w:r>
        <w:rPr>
          <w:spacing w:val="-3"/>
        </w:rPr>
        <w:t> </w:t>
      </w:r>
      <w:r>
        <w:rPr/>
        <w:t>multiple</w:t>
      </w:r>
      <w:r>
        <w:rPr>
          <w:spacing w:val="-4"/>
        </w:rPr>
        <w:t> </w:t>
      </w:r>
      <w:r>
        <w:rPr/>
        <w:t>paths.</w:t>
      </w:r>
      <w:r>
        <w:rPr>
          <w:spacing w:val="-6"/>
        </w:rPr>
        <w:t> </w:t>
      </w:r>
      <w:r>
        <w:rPr/>
        <w:t>Dissemination</w:t>
      </w:r>
      <w:r>
        <w:rPr>
          <w:spacing w:val="-1"/>
        </w:rPr>
        <w:t> </w:t>
      </w:r>
      <w:r>
        <w:rPr/>
        <w:t>to others is further defined in Appendix 2.</w:t>
      </w:r>
    </w:p>
    <w:p>
      <w:pPr>
        <w:pStyle w:val="BodyText"/>
        <w:spacing w:before="1"/>
      </w:pPr>
    </w:p>
    <w:p>
      <w:pPr>
        <w:pStyle w:val="BodyText"/>
        <w:ind w:left="119" w:right="125" w:firstLine="720"/>
      </w:pPr>
      <w:r>
        <w:rPr>
          <w:b/>
          <w:i/>
        </w:rPr>
        <w:t>Highly Satisfactory</w:t>
      </w:r>
      <w:r>
        <w:rPr>
          <w:b/>
        </w:rPr>
        <w:t>. </w:t>
      </w:r>
      <w:r>
        <w:rPr/>
        <w:t>In terms of quantity and quality, the candidate’s service record is strong,</w:t>
      </w:r>
      <w:r>
        <w:rPr>
          <w:spacing w:val="-5"/>
        </w:rPr>
        <w:t> </w:t>
      </w:r>
      <w:r>
        <w:rPr/>
        <w:t>commendable,</w:t>
      </w:r>
      <w:r>
        <w:rPr>
          <w:spacing w:val="-2"/>
        </w:rPr>
        <w:t> </w:t>
      </w:r>
      <w:r>
        <w:rPr/>
        <w:t>and</w:t>
      </w:r>
      <w:r>
        <w:rPr>
          <w:spacing w:val="-1"/>
        </w:rPr>
        <w:t> </w:t>
      </w:r>
      <w:r>
        <w:rPr/>
        <w:t>recognized</w:t>
      </w:r>
      <w:r>
        <w:rPr>
          <w:spacing w:val="-4"/>
        </w:rPr>
        <w:t> </w:t>
      </w:r>
      <w:r>
        <w:rPr/>
        <w:t>beyond</w:t>
      </w:r>
      <w:r>
        <w:rPr>
          <w:spacing w:val="-4"/>
        </w:rPr>
        <w:t> </w:t>
      </w:r>
      <w:r>
        <w:rPr/>
        <w:t>the</w:t>
      </w:r>
      <w:r>
        <w:rPr>
          <w:spacing w:val="-2"/>
        </w:rPr>
        <w:t> </w:t>
      </w:r>
      <w:r>
        <w:rPr/>
        <w:t>Kelley</w:t>
      </w:r>
      <w:r>
        <w:rPr>
          <w:spacing w:val="-3"/>
        </w:rPr>
        <w:t> </w:t>
      </w:r>
      <w:r>
        <w:rPr/>
        <w:t>School.</w:t>
      </w:r>
      <w:r>
        <w:rPr>
          <w:spacing w:val="-3"/>
        </w:rPr>
        <w:t> </w:t>
      </w:r>
      <w:r>
        <w:rPr/>
        <w:t>Examples</w:t>
      </w:r>
      <w:r>
        <w:rPr>
          <w:spacing w:val="-3"/>
        </w:rPr>
        <w:t> </w:t>
      </w:r>
      <w:r>
        <w:rPr/>
        <w:t>may</w:t>
      </w:r>
      <w:r>
        <w:rPr>
          <w:spacing w:val="-3"/>
        </w:rPr>
        <w:t> </w:t>
      </w:r>
      <w:r>
        <w:rPr/>
        <w:t>include</w:t>
      </w:r>
      <w:r>
        <w:rPr>
          <w:spacing w:val="-6"/>
        </w:rPr>
        <w:t> </w:t>
      </w:r>
      <w:r>
        <w:rPr/>
        <w:t>academic and/or professional peer-reviewed scholarship and presentations, published books/chapters/manuals, contributions to local/national media, blogs/podcasts, grants, editorships, community leadership, and/or other contributions to the dissemination of service contributions. However, the record does not rise to the level necessary for a rating of </w:t>
      </w:r>
      <w:r>
        <w:rPr>
          <w:i/>
        </w:rPr>
        <w:t>excellent</w:t>
      </w:r>
      <w:r>
        <w:rPr>
          <w:i/>
        </w:rPr>
        <w:t> </w:t>
      </w:r>
      <w:r>
        <w:rPr/>
        <w:t>because it lacks the regional/national stature element. Typically, a </w:t>
      </w:r>
      <w:r>
        <w:rPr>
          <w:i/>
        </w:rPr>
        <w:t>highly satisfactory </w:t>
      </w:r>
      <w:r>
        <w:rPr/>
        <w:t>record is focused mainly on department, school, campus-level, regional service, and efforts and contributions that enhance the School’s service mission, values, and goals. Such a record reflects a significant number and range of student, department, school, or campus service activities of</w:t>
      </w:r>
      <w:r>
        <w:rPr>
          <w:spacing w:val="40"/>
        </w:rPr>
        <w:t> </w:t>
      </w:r>
      <w:r>
        <w:rPr/>
        <w:t>the sorts listed above in the description of the </w:t>
      </w:r>
      <w:r>
        <w:rPr>
          <w:i/>
        </w:rPr>
        <w:t>excellent </w:t>
      </w:r>
      <w:r>
        <w:rPr/>
        <w:t>service rating. The </w:t>
      </w:r>
      <w:r>
        <w:rPr>
          <w:i/>
        </w:rPr>
        <w:t>highly satisfactory</w:t>
      </w:r>
      <w:r>
        <w:rPr>
          <w:i/>
        </w:rPr>
        <w:t> </w:t>
      </w:r>
      <w:r>
        <w:rPr/>
        <w:t>record also contains evidence that certain service activities required a significant time commitment. Extended high-level service within the school in roles such as program chair may contribute to recognition for a ranking of </w:t>
      </w:r>
      <w:r>
        <w:rPr>
          <w:i/>
        </w:rPr>
        <w:t>highly satisfactory</w:t>
      </w:r>
      <w:r>
        <w:rPr/>
        <w:t>. Such a rating is consistent with the notion that the candidate’s service contributions have significantly exceeded the </w:t>
      </w:r>
      <w:r>
        <w:rPr>
          <w:i/>
        </w:rPr>
        <w:t>satisfactory</w:t>
      </w:r>
      <w:r>
        <w:rPr>
          <w:i/>
        </w:rPr>
        <w:t> </w:t>
      </w:r>
      <w:r>
        <w:rPr>
          <w:spacing w:val="-2"/>
        </w:rPr>
        <w:t>level.</w:t>
      </w:r>
    </w:p>
    <w:p>
      <w:pPr>
        <w:pStyle w:val="BodyText"/>
        <w:spacing w:line="237" w:lineRule="auto" w:before="240"/>
        <w:ind w:left="120" w:right="861" w:firstLine="840"/>
      </w:pPr>
      <w:r>
        <w:rPr/>
        <w:t>For promotion based on a balanced case, quality academic and/or professional peer-reviewed</w:t>
      </w:r>
      <w:r>
        <w:rPr>
          <w:spacing w:val="-4"/>
        </w:rPr>
        <w:t> </w:t>
      </w:r>
      <w:r>
        <w:rPr/>
        <w:t>scholarship</w:t>
      </w:r>
      <w:r>
        <w:rPr>
          <w:spacing w:val="-1"/>
        </w:rPr>
        <w:t> </w:t>
      </w:r>
      <w:r>
        <w:rPr/>
        <w:t>is</w:t>
      </w:r>
      <w:r>
        <w:rPr>
          <w:spacing w:val="-5"/>
        </w:rPr>
        <w:t> </w:t>
      </w:r>
      <w:r>
        <w:rPr/>
        <w:t>beneficial</w:t>
      </w:r>
      <w:r>
        <w:rPr>
          <w:spacing w:val="-5"/>
        </w:rPr>
        <w:t> </w:t>
      </w:r>
      <w:r>
        <w:rPr/>
        <w:t>but</w:t>
      </w:r>
      <w:r>
        <w:rPr>
          <w:spacing w:val="-4"/>
        </w:rPr>
        <w:t> </w:t>
      </w:r>
      <w:r>
        <w:rPr/>
        <w:t>not</w:t>
      </w:r>
      <w:r>
        <w:rPr>
          <w:spacing w:val="-4"/>
        </w:rPr>
        <w:t> </w:t>
      </w:r>
      <w:r>
        <w:rPr/>
        <w:t>required</w:t>
      </w:r>
      <w:r>
        <w:rPr>
          <w:spacing w:val="-4"/>
        </w:rPr>
        <w:t> </w:t>
      </w:r>
      <w:r>
        <w:rPr/>
        <w:t>for</w:t>
      </w:r>
      <w:r>
        <w:rPr>
          <w:spacing w:val="-5"/>
        </w:rPr>
        <w:t> </w:t>
      </w:r>
      <w:r>
        <w:rPr/>
        <w:t>achieving</w:t>
      </w:r>
      <w:r>
        <w:rPr>
          <w:spacing w:val="-5"/>
        </w:rPr>
        <w:t> </w:t>
      </w:r>
      <w:r>
        <w:rPr/>
        <w:t>a</w:t>
      </w:r>
      <w:r>
        <w:rPr>
          <w:spacing w:val="-5"/>
        </w:rPr>
        <w:t> </w:t>
      </w:r>
      <w:r>
        <w:rPr/>
        <w:t>highly</w:t>
      </w:r>
      <w:r>
        <w:rPr>
          <w:spacing w:val="-3"/>
        </w:rPr>
        <w:t> </w:t>
      </w:r>
      <w:r>
        <w:rPr/>
        <w:t>satisfactory rating in service. Dissemination to others is further defined in Appendix 2.</w:t>
      </w:r>
    </w:p>
    <w:p>
      <w:pPr>
        <w:pStyle w:val="BodyText"/>
        <w:spacing w:before="291"/>
        <w:ind w:left="120" w:right="118" w:firstLine="720"/>
      </w:pPr>
      <w:r>
        <w:rPr>
          <w:b/>
          <w:i/>
        </w:rPr>
        <w:t>Satisfactory.</w:t>
      </w:r>
      <w:r>
        <w:rPr>
          <w:b/>
          <w:i/>
          <w:spacing w:val="40"/>
        </w:rPr>
        <w:t> </w:t>
      </w:r>
      <w:r>
        <w:rPr/>
        <w:t>The candidate’s service</w:t>
      </w:r>
      <w:r>
        <w:rPr>
          <w:spacing w:val="-1"/>
        </w:rPr>
        <w:t> </w:t>
      </w:r>
      <w:r>
        <w:rPr/>
        <w:t>record is adequate in</w:t>
      </w:r>
      <w:r>
        <w:rPr>
          <w:spacing w:val="-1"/>
        </w:rPr>
        <w:t> </w:t>
      </w:r>
      <w:r>
        <w:rPr/>
        <w:t>terms</w:t>
      </w:r>
      <w:r>
        <w:rPr>
          <w:spacing w:val="-2"/>
        </w:rPr>
        <w:t> </w:t>
      </w:r>
      <w:r>
        <w:rPr/>
        <w:t>of</w:t>
      </w:r>
      <w:r>
        <w:rPr>
          <w:spacing w:val="-1"/>
        </w:rPr>
        <w:t> </w:t>
      </w:r>
      <w:r>
        <w:rPr/>
        <w:t>quantity and</w:t>
      </w:r>
      <w:r>
        <w:rPr>
          <w:spacing w:val="-1"/>
        </w:rPr>
        <w:t> </w:t>
      </w:r>
      <w:r>
        <w:rPr/>
        <w:t>quality, but not strong enough to warrant any higher rating. The candidate has completed service assignments given to the candidate and has done so in an acceptable manner. However, the candidate’s record contains little or no evidence of instances in which the candidate’s service performance</w:t>
      </w:r>
      <w:r>
        <w:rPr>
          <w:spacing w:val="-4"/>
        </w:rPr>
        <w:t> </w:t>
      </w:r>
      <w:r>
        <w:rPr/>
        <w:t>exceeded</w:t>
      </w:r>
      <w:r>
        <w:rPr>
          <w:spacing w:val="-1"/>
        </w:rPr>
        <w:t> </w:t>
      </w:r>
      <w:r>
        <w:rPr/>
        <w:t>acceptability</w:t>
      </w:r>
      <w:r>
        <w:rPr>
          <w:spacing w:val="-3"/>
        </w:rPr>
        <w:t> </w:t>
      </w:r>
      <w:r>
        <w:rPr/>
        <w:t>expectations.</w:t>
      </w:r>
      <w:r>
        <w:rPr>
          <w:spacing w:val="-3"/>
        </w:rPr>
        <w:t> </w:t>
      </w:r>
      <w:r>
        <w:rPr/>
        <w:t>Collegiality</w:t>
      </w:r>
      <w:r>
        <w:rPr>
          <w:spacing w:val="-3"/>
        </w:rPr>
        <w:t> </w:t>
      </w:r>
      <w:r>
        <w:rPr/>
        <w:t>is</w:t>
      </w:r>
      <w:r>
        <w:rPr>
          <w:spacing w:val="-5"/>
        </w:rPr>
        <w:t> </w:t>
      </w:r>
      <w:r>
        <w:rPr/>
        <w:t>a</w:t>
      </w:r>
      <w:r>
        <w:rPr>
          <w:spacing w:val="-2"/>
        </w:rPr>
        <w:t> </w:t>
      </w:r>
      <w:r>
        <w:rPr/>
        <w:t>component</w:t>
      </w:r>
      <w:r>
        <w:rPr>
          <w:spacing w:val="-4"/>
        </w:rPr>
        <w:t> </w:t>
      </w:r>
      <w:r>
        <w:rPr/>
        <w:t>of</w:t>
      </w:r>
      <w:r>
        <w:rPr>
          <w:spacing w:val="-4"/>
        </w:rPr>
        <w:t> </w:t>
      </w:r>
      <w:r>
        <w:rPr/>
        <w:t>service,</w:t>
      </w:r>
      <w:r>
        <w:rPr>
          <w:spacing w:val="-2"/>
        </w:rPr>
        <w:t> </w:t>
      </w:r>
      <w:r>
        <w:rPr/>
        <w:t>and</w:t>
      </w:r>
      <w:r>
        <w:rPr>
          <w:spacing w:val="-4"/>
        </w:rPr>
        <w:t> </w:t>
      </w:r>
      <w:r>
        <w:rPr/>
        <w:t>it</w:t>
      </w:r>
      <w:r>
        <w:rPr>
          <w:spacing w:val="-4"/>
        </w:rPr>
        <w:t> </w:t>
      </w:r>
      <w:r>
        <w:rPr/>
        <w:t>is a necessary condition for the candidate to be considered at least satisfactory in service.</w:t>
      </w:r>
    </w:p>
    <w:p>
      <w:pPr>
        <w:pStyle w:val="BodyText"/>
        <w:spacing w:before="247"/>
        <w:ind w:left="119" w:right="410" w:firstLine="720"/>
        <w:jc w:val="both"/>
      </w:pPr>
      <w:r>
        <w:rPr>
          <w:b/>
          <w:i/>
        </w:rPr>
        <w:t>Unsatisfactory.</w:t>
      </w:r>
      <w:r>
        <w:rPr>
          <w:b/>
          <w:i/>
          <w:spacing w:val="40"/>
        </w:rPr>
        <w:t> </w:t>
      </w:r>
      <w:r>
        <w:rPr/>
        <w:t>The</w:t>
      </w:r>
      <w:r>
        <w:rPr>
          <w:spacing w:val="-3"/>
        </w:rPr>
        <w:t> </w:t>
      </w:r>
      <w:r>
        <w:rPr/>
        <w:t>faculty</w:t>
      </w:r>
      <w:r>
        <w:rPr>
          <w:spacing w:val="-6"/>
        </w:rPr>
        <w:t> </w:t>
      </w:r>
      <w:r>
        <w:rPr/>
        <w:t>member</w:t>
      </w:r>
      <w:r>
        <w:rPr>
          <w:spacing w:val="-4"/>
        </w:rPr>
        <w:t> </w:t>
      </w:r>
      <w:r>
        <w:rPr/>
        <w:t>fails</w:t>
      </w:r>
      <w:r>
        <w:rPr>
          <w:spacing w:val="-4"/>
        </w:rPr>
        <w:t> </w:t>
      </w:r>
      <w:r>
        <w:rPr/>
        <w:t>to contribute</w:t>
      </w:r>
      <w:r>
        <w:rPr>
          <w:spacing w:val="-5"/>
        </w:rPr>
        <w:t> </w:t>
      </w:r>
      <w:r>
        <w:rPr/>
        <w:t>constructively</w:t>
      </w:r>
      <w:r>
        <w:rPr>
          <w:spacing w:val="-6"/>
        </w:rPr>
        <w:t> </w:t>
      </w:r>
      <w:r>
        <w:rPr/>
        <w:t>to</w:t>
      </w:r>
      <w:r>
        <w:rPr>
          <w:spacing w:val="-3"/>
        </w:rPr>
        <w:t> </w:t>
      </w:r>
      <w:r>
        <w:rPr/>
        <w:t>the</w:t>
      </w:r>
      <w:r>
        <w:rPr>
          <w:spacing w:val="-4"/>
        </w:rPr>
        <w:t> </w:t>
      </w:r>
      <w:r>
        <w:rPr/>
        <w:t>mission</w:t>
      </w:r>
      <w:r>
        <w:rPr>
          <w:spacing w:val="-3"/>
        </w:rPr>
        <w:t> </w:t>
      </w:r>
      <w:r>
        <w:rPr/>
        <w:t>of the</w:t>
      </w:r>
      <w:r>
        <w:rPr>
          <w:spacing w:val="-8"/>
        </w:rPr>
        <w:t> </w:t>
      </w:r>
      <w:r>
        <w:rPr/>
        <w:t>School</w:t>
      </w:r>
      <w:r>
        <w:rPr>
          <w:spacing w:val="40"/>
        </w:rPr>
        <w:t> </w:t>
      </w:r>
      <w:r>
        <w:rPr/>
        <w:t>and</w:t>
      </w:r>
      <w:r>
        <w:rPr>
          <w:spacing w:val="-5"/>
        </w:rPr>
        <w:t> </w:t>
      </w:r>
      <w:r>
        <w:rPr/>
        <w:t>University</w:t>
      </w:r>
      <w:r>
        <w:rPr>
          <w:spacing w:val="-7"/>
        </w:rPr>
        <w:t> </w:t>
      </w:r>
      <w:r>
        <w:rPr/>
        <w:t>through</w:t>
      </w:r>
      <w:r>
        <w:rPr>
          <w:spacing w:val="-7"/>
        </w:rPr>
        <w:t> </w:t>
      </w:r>
      <w:r>
        <w:rPr/>
        <w:t>his/her</w:t>
      </w:r>
      <w:r>
        <w:rPr>
          <w:spacing w:val="-6"/>
        </w:rPr>
        <w:t> </w:t>
      </w:r>
      <w:r>
        <w:rPr/>
        <w:t>service</w:t>
      </w:r>
      <w:r>
        <w:rPr>
          <w:spacing w:val="-8"/>
        </w:rPr>
        <w:t> </w:t>
      </w:r>
      <w:r>
        <w:rPr/>
        <w:t>activities.</w:t>
      </w:r>
      <w:r>
        <w:rPr>
          <w:spacing w:val="-12"/>
        </w:rPr>
        <w:t> </w:t>
      </w:r>
      <w:r>
        <w:rPr/>
        <w:t>The</w:t>
      </w:r>
      <w:r>
        <w:rPr>
          <w:spacing w:val="-8"/>
        </w:rPr>
        <w:t> </w:t>
      </w:r>
      <w:r>
        <w:rPr/>
        <w:t>candidate</w:t>
      </w:r>
      <w:r>
        <w:rPr>
          <w:spacing w:val="-10"/>
        </w:rPr>
        <w:t> </w:t>
      </w:r>
      <w:r>
        <w:rPr/>
        <w:t>has</w:t>
      </w:r>
      <w:r>
        <w:rPr>
          <w:spacing w:val="-13"/>
        </w:rPr>
        <w:t> </w:t>
      </w:r>
      <w:r>
        <w:rPr/>
        <w:t>undertaken</w:t>
      </w:r>
      <w:r>
        <w:rPr>
          <w:spacing w:val="-10"/>
        </w:rPr>
        <w:t> </w:t>
      </w:r>
      <w:r>
        <w:rPr/>
        <w:t>few </w:t>
      </w:r>
      <w:r>
        <w:rPr>
          <w:spacing w:val="-4"/>
        </w:rPr>
        <w:t>service activities, rejected customary service assignments, failed to complete service assignments </w:t>
      </w:r>
      <w:r>
        <w:rPr>
          <w:spacing w:val="-2"/>
        </w:rPr>
        <w:t>the</w:t>
      </w:r>
      <w:r>
        <w:rPr>
          <w:spacing w:val="-12"/>
        </w:rPr>
        <w:t> </w:t>
      </w:r>
      <w:r>
        <w:rPr>
          <w:spacing w:val="-2"/>
        </w:rPr>
        <w:t>candidate</w:t>
      </w:r>
      <w:r>
        <w:rPr>
          <w:spacing w:val="-12"/>
        </w:rPr>
        <w:t> </w:t>
      </w:r>
      <w:r>
        <w:rPr>
          <w:spacing w:val="-2"/>
        </w:rPr>
        <w:t>accepted,</w:t>
      </w:r>
      <w:r>
        <w:rPr>
          <w:spacing w:val="-11"/>
        </w:rPr>
        <w:t> </w:t>
      </w:r>
      <w:r>
        <w:rPr>
          <w:spacing w:val="-2"/>
        </w:rPr>
        <w:t>completed</w:t>
      </w:r>
      <w:r>
        <w:rPr>
          <w:spacing w:val="-12"/>
        </w:rPr>
        <w:t> </w:t>
      </w:r>
      <w:r>
        <w:rPr>
          <w:spacing w:val="-2"/>
        </w:rPr>
        <w:t>accepted</w:t>
      </w:r>
      <w:r>
        <w:rPr>
          <w:spacing w:val="-11"/>
        </w:rPr>
        <w:t> </w:t>
      </w:r>
      <w:r>
        <w:rPr>
          <w:spacing w:val="-2"/>
        </w:rPr>
        <w:t>assignments</w:t>
      </w:r>
      <w:r>
        <w:rPr>
          <w:spacing w:val="-12"/>
        </w:rPr>
        <w:t> </w:t>
      </w:r>
      <w:r>
        <w:rPr>
          <w:spacing w:val="-2"/>
        </w:rPr>
        <w:t>poorly,</w:t>
      </w:r>
      <w:r>
        <w:rPr>
          <w:spacing w:val="-11"/>
        </w:rPr>
        <w:t> </w:t>
      </w:r>
      <w:r>
        <w:rPr>
          <w:spacing w:val="-2"/>
        </w:rPr>
        <w:t>or</w:t>
      </w:r>
      <w:r>
        <w:rPr>
          <w:spacing w:val="-12"/>
        </w:rPr>
        <w:t> </w:t>
      </w:r>
      <w:r>
        <w:rPr>
          <w:spacing w:val="-2"/>
        </w:rPr>
        <w:t>is</w:t>
      </w:r>
      <w:r>
        <w:rPr>
          <w:spacing w:val="-12"/>
        </w:rPr>
        <w:t> </w:t>
      </w:r>
      <w:r>
        <w:rPr>
          <w:spacing w:val="-2"/>
        </w:rPr>
        <w:t>frequently</w:t>
      </w:r>
      <w:r>
        <w:rPr>
          <w:spacing w:val="-11"/>
        </w:rPr>
        <w:t> </w:t>
      </w:r>
      <w:r>
        <w:rPr>
          <w:spacing w:val="-2"/>
        </w:rPr>
        <w:t>absent</w:t>
      </w:r>
      <w:r>
        <w:rPr>
          <w:spacing w:val="-12"/>
        </w:rPr>
        <w:t> </w:t>
      </w:r>
      <w:r>
        <w:rPr>
          <w:spacing w:val="-2"/>
        </w:rPr>
        <w:t>without </w:t>
      </w:r>
      <w:r>
        <w:rPr/>
        <w:t>good reason. The candidate is unwilling or unable to participate collegially in events and</w:t>
      </w:r>
    </w:p>
    <w:p>
      <w:pPr>
        <w:spacing w:after="0"/>
        <w:jc w:val="both"/>
        <w:sectPr>
          <w:pgSz w:w="12240" w:h="15840"/>
          <w:pgMar w:header="0" w:footer="1712" w:top="1400" w:bottom="1980" w:left="1320" w:right="1180"/>
        </w:sectPr>
      </w:pPr>
    </w:p>
    <w:p>
      <w:pPr>
        <w:pStyle w:val="BodyText"/>
        <w:spacing w:before="26"/>
        <w:ind w:left="119" w:right="330"/>
      </w:pPr>
      <w:r>
        <w:rPr/>
        <w:t>seminars, or demonstrates a habit of avoidance. The faculty member’s activities are inconsistent</w:t>
      </w:r>
      <w:r>
        <w:rPr>
          <w:spacing w:val="-1"/>
        </w:rPr>
        <w:t> </w:t>
      </w:r>
      <w:r>
        <w:rPr/>
        <w:t>with,</w:t>
      </w:r>
      <w:r>
        <w:rPr>
          <w:spacing w:val="-2"/>
        </w:rPr>
        <w:t> </w:t>
      </w:r>
      <w:r>
        <w:rPr/>
        <w:t>or</w:t>
      </w:r>
      <w:r>
        <w:rPr>
          <w:spacing w:val="-2"/>
        </w:rPr>
        <w:t> </w:t>
      </w:r>
      <w:r>
        <w:rPr/>
        <w:t>demonstrate</w:t>
      </w:r>
      <w:r>
        <w:rPr>
          <w:spacing w:val="-1"/>
        </w:rPr>
        <w:t> </w:t>
      </w:r>
      <w:r>
        <w:rPr/>
        <w:t>unwillingness</w:t>
      </w:r>
      <w:r>
        <w:rPr>
          <w:spacing w:val="-2"/>
        </w:rPr>
        <w:t> </w:t>
      </w:r>
      <w:r>
        <w:rPr/>
        <w:t>to contribute</w:t>
      </w:r>
      <w:r>
        <w:rPr>
          <w:spacing w:val="-1"/>
        </w:rPr>
        <w:t> </w:t>
      </w:r>
      <w:r>
        <w:rPr/>
        <w:t>to</w:t>
      </w:r>
      <w:r>
        <w:rPr>
          <w:spacing w:val="-1"/>
        </w:rPr>
        <w:t> </w:t>
      </w:r>
      <w:r>
        <w:rPr/>
        <w:t>the School’s service mission, values,</w:t>
      </w:r>
      <w:r>
        <w:rPr>
          <w:spacing w:val="-2"/>
        </w:rPr>
        <w:t> </w:t>
      </w:r>
      <w:r>
        <w:rPr/>
        <w:t>and</w:t>
      </w:r>
      <w:r>
        <w:rPr>
          <w:spacing w:val="-1"/>
        </w:rPr>
        <w:t> </w:t>
      </w:r>
      <w:r>
        <w:rPr/>
        <w:t>goals.</w:t>
      </w:r>
      <w:r>
        <w:rPr>
          <w:spacing w:val="-3"/>
        </w:rPr>
        <w:t> </w:t>
      </w:r>
      <w:r>
        <w:rPr/>
        <w:t>The</w:t>
      </w:r>
      <w:r>
        <w:rPr>
          <w:spacing w:val="-2"/>
        </w:rPr>
        <w:t> </w:t>
      </w:r>
      <w:r>
        <w:rPr/>
        <w:t>candidate</w:t>
      </w:r>
      <w:r>
        <w:rPr>
          <w:spacing w:val="-4"/>
        </w:rPr>
        <w:t> </w:t>
      </w:r>
      <w:r>
        <w:rPr/>
        <w:t>has</w:t>
      </w:r>
      <w:r>
        <w:rPr>
          <w:spacing w:val="-5"/>
        </w:rPr>
        <w:t> </w:t>
      </w:r>
      <w:r>
        <w:rPr/>
        <w:t>failed</w:t>
      </w:r>
      <w:r>
        <w:rPr>
          <w:spacing w:val="-4"/>
        </w:rPr>
        <w:t> </w:t>
      </w:r>
      <w:r>
        <w:rPr/>
        <w:t>to</w:t>
      </w:r>
      <w:r>
        <w:rPr>
          <w:spacing w:val="-2"/>
        </w:rPr>
        <w:t> </w:t>
      </w:r>
      <w:r>
        <w:rPr/>
        <w:t>show</w:t>
      </w:r>
      <w:r>
        <w:rPr>
          <w:spacing w:val="-1"/>
        </w:rPr>
        <w:t> </w:t>
      </w:r>
      <w:r>
        <w:rPr/>
        <w:t>improvement</w:t>
      </w:r>
      <w:r>
        <w:rPr>
          <w:spacing w:val="-4"/>
        </w:rPr>
        <w:t> </w:t>
      </w:r>
      <w:r>
        <w:rPr/>
        <w:t>after</w:t>
      </w:r>
      <w:r>
        <w:rPr>
          <w:spacing w:val="-5"/>
        </w:rPr>
        <w:t> </w:t>
      </w:r>
      <w:r>
        <w:rPr/>
        <w:t>being</w:t>
      </w:r>
      <w:r>
        <w:rPr>
          <w:spacing w:val="-3"/>
        </w:rPr>
        <w:t> </w:t>
      </w:r>
      <w:r>
        <w:rPr/>
        <w:t>placed</w:t>
      </w:r>
      <w:r>
        <w:rPr>
          <w:spacing w:val="-1"/>
        </w:rPr>
        <w:t> </w:t>
      </w:r>
      <w:r>
        <w:rPr/>
        <w:t>on</w:t>
      </w:r>
      <w:r>
        <w:rPr>
          <w:spacing w:val="-4"/>
        </w:rPr>
        <w:t> </w:t>
      </w:r>
      <w:r>
        <w:rPr/>
        <w:t>notice that the candidate’s service performance was falling below the standards</w:t>
      </w:r>
      <w:r>
        <w:rPr>
          <w:spacing w:val="-2"/>
        </w:rPr>
        <w:t> </w:t>
      </w:r>
      <w:r>
        <w:rPr/>
        <w:t>of acceptability. An unsatisfactory record</w:t>
      </w:r>
      <w:r>
        <w:rPr>
          <w:spacing w:val="-1"/>
        </w:rPr>
        <w:t> </w:t>
      </w:r>
      <w:r>
        <w:rPr/>
        <w:t>typically</w:t>
      </w:r>
      <w:r>
        <w:rPr>
          <w:spacing w:val="-1"/>
        </w:rPr>
        <w:t> </w:t>
      </w:r>
      <w:r>
        <w:rPr/>
        <w:t>would be</w:t>
      </w:r>
      <w:r>
        <w:rPr>
          <w:spacing w:val="80"/>
        </w:rPr>
        <w:t> </w:t>
      </w:r>
      <w:r>
        <w:rPr/>
        <w:t>characterized by one or more of</w:t>
      </w:r>
      <w:r>
        <w:rPr>
          <w:spacing w:val="-1"/>
        </w:rPr>
        <w:t> </w:t>
      </w:r>
      <w:r>
        <w:rPr/>
        <w:t>the following:</w:t>
      </w:r>
      <w:r>
        <w:rPr>
          <w:spacing w:val="-7"/>
        </w:rPr>
        <w:t> </w:t>
      </w:r>
      <w:hyperlink w:history="true" w:anchor="_bookmark15">
        <w:r>
          <w:rPr>
            <w:vertAlign w:val="superscript"/>
          </w:rPr>
          <w:t>16</w:t>
        </w:r>
      </w:hyperlink>
    </w:p>
    <w:p>
      <w:pPr>
        <w:pStyle w:val="ListParagraph"/>
        <w:numPr>
          <w:ilvl w:val="0"/>
          <w:numId w:val="11"/>
        </w:numPr>
        <w:tabs>
          <w:tab w:pos="931" w:val="left" w:leader="none"/>
        </w:tabs>
        <w:spacing w:line="240" w:lineRule="auto" w:before="283" w:after="0"/>
        <w:ind w:left="931" w:right="0" w:hanging="451"/>
        <w:jc w:val="left"/>
        <w:rPr>
          <w:sz w:val="24"/>
        </w:rPr>
      </w:pPr>
      <w:r>
        <w:rPr>
          <w:sz w:val="24"/>
        </w:rPr>
        <w:t>Failure</w:t>
      </w:r>
      <w:r>
        <w:rPr>
          <w:spacing w:val="-9"/>
          <w:sz w:val="24"/>
        </w:rPr>
        <w:t> </w:t>
      </w:r>
      <w:r>
        <w:rPr>
          <w:sz w:val="24"/>
        </w:rPr>
        <w:t>to</w:t>
      </w:r>
      <w:r>
        <w:rPr>
          <w:spacing w:val="-9"/>
          <w:sz w:val="24"/>
        </w:rPr>
        <w:t> </w:t>
      </w:r>
      <w:r>
        <w:rPr>
          <w:sz w:val="24"/>
        </w:rPr>
        <w:t>provide</w:t>
      </w:r>
      <w:r>
        <w:rPr>
          <w:spacing w:val="-6"/>
          <w:sz w:val="24"/>
        </w:rPr>
        <w:t> </w:t>
      </w:r>
      <w:r>
        <w:rPr>
          <w:sz w:val="24"/>
        </w:rPr>
        <w:t>a</w:t>
      </w:r>
      <w:r>
        <w:rPr>
          <w:spacing w:val="-9"/>
          <w:sz w:val="24"/>
        </w:rPr>
        <w:t> </w:t>
      </w:r>
      <w:r>
        <w:rPr>
          <w:sz w:val="24"/>
        </w:rPr>
        <w:t>reasonable</w:t>
      </w:r>
      <w:r>
        <w:rPr>
          <w:spacing w:val="-7"/>
          <w:sz w:val="24"/>
        </w:rPr>
        <w:t> </w:t>
      </w:r>
      <w:r>
        <w:rPr>
          <w:sz w:val="24"/>
        </w:rPr>
        <w:t>amount</w:t>
      </w:r>
      <w:r>
        <w:rPr>
          <w:spacing w:val="-7"/>
          <w:sz w:val="24"/>
        </w:rPr>
        <w:t> </w:t>
      </w:r>
      <w:r>
        <w:rPr>
          <w:sz w:val="24"/>
        </w:rPr>
        <w:t>of</w:t>
      </w:r>
      <w:r>
        <w:rPr>
          <w:spacing w:val="-3"/>
          <w:sz w:val="24"/>
        </w:rPr>
        <w:t> </w:t>
      </w:r>
      <w:r>
        <w:rPr>
          <w:sz w:val="24"/>
        </w:rPr>
        <w:t>service</w:t>
      </w:r>
      <w:r>
        <w:rPr>
          <w:spacing w:val="-7"/>
          <w:sz w:val="24"/>
        </w:rPr>
        <w:t> </w:t>
      </w:r>
      <w:r>
        <w:rPr>
          <w:sz w:val="24"/>
        </w:rPr>
        <w:t>to</w:t>
      </w:r>
      <w:r>
        <w:rPr>
          <w:spacing w:val="-6"/>
          <w:sz w:val="24"/>
        </w:rPr>
        <w:t> </w:t>
      </w:r>
      <w:r>
        <w:rPr>
          <w:sz w:val="24"/>
        </w:rPr>
        <w:t>the</w:t>
      </w:r>
      <w:r>
        <w:rPr>
          <w:spacing w:val="-7"/>
          <w:sz w:val="24"/>
        </w:rPr>
        <w:t> </w:t>
      </w:r>
      <w:r>
        <w:rPr>
          <w:sz w:val="24"/>
        </w:rPr>
        <w:t>School</w:t>
      </w:r>
      <w:r>
        <w:rPr>
          <w:spacing w:val="-7"/>
          <w:sz w:val="24"/>
        </w:rPr>
        <w:t> </w:t>
      </w:r>
      <w:r>
        <w:rPr>
          <w:sz w:val="24"/>
        </w:rPr>
        <w:t>or</w:t>
      </w:r>
      <w:r>
        <w:rPr>
          <w:spacing w:val="-7"/>
          <w:sz w:val="24"/>
        </w:rPr>
        <w:t> </w:t>
      </w:r>
      <w:r>
        <w:rPr>
          <w:spacing w:val="-2"/>
          <w:sz w:val="24"/>
        </w:rPr>
        <w:t>University;</w:t>
      </w:r>
    </w:p>
    <w:p>
      <w:pPr>
        <w:pStyle w:val="ListParagraph"/>
        <w:numPr>
          <w:ilvl w:val="0"/>
          <w:numId w:val="11"/>
        </w:numPr>
        <w:tabs>
          <w:tab w:pos="931" w:val="left" w:leader="none"/>
        </w:tabs>
        <w:spacing w:line="240" w:lineRule="auto" w:before="0" w:after="0"/>
        <w:ind w:left="931" w:right="0" w:hanging="451"/>
        <w:jc w:val="left"/>
        <w:rPr>
          <w:sz w:val="24"/>
        </w:rPr>
      </w:pPr>
      <w:r>
        <w:rPr>
          <w:sz w:val="24"/>
        </w:rPr>
        <w:t>Failure</w:t>
      </w:r>
      <w:r>
        <w:rPr>
          <w:spacing w:val="-8"/>
          <w:sz w:val="24"/>
        </w:rPr>
        <w:t> </w:t>
      </w:r>
      <w:r>
        <w:rPr>
          <w:sz w:val="24"/>
        </w:rPr>
        <w:t>to</w:t>
      </w:r>
      <w:r>
        <w:rPr>
          <w:spacing w:val="-8"/>
          <w:sz w:val="24"/>
        </w:rPr>
        <w:t> </w:t>
      </w:r>
      <w:r>
        <w:rPr>
          <w:sz w:val="24"/>
        </w:rPr>
        <w:t>demonstrate</w:t>
      </w:r>
      <w:r>
        <w:rPr>
          <w:spacing w:val="-9"/>
          <w:sz w:val="24"/>
        </w:rPr>
        <w:t> </w:t>
      </w:r>
      <w:r>
        <w:rPr>
          <w:sz w:val="24"/>
        </w:rPr>
        <w:t>contributions</w:t>
      </w:r>
      <w:r>
        <w:rPr>
          <w:spacing w:val="-9"/>
          <w:sz w:val="24"/>
        </w:rPr>
        <w:t> </w:t>
      </w:r>
      <w:r>
        <w:rPr>
          <w:sz w:val="24"/>
        </w:rPr>
        <w:t>to</w:t>
      </w:r>
      <w:r>
        <w:rPr>
          <w:spacing w:val="-8"/>
          <w:sz w:val="24"/>
        </w:rPr>
        <w:t> </w:t>
      </w:r>
      <w:r>
        <w:rPr>
          <w:sz w:val="24"/>
        </w:rPr>
        <w:t>the</w:t>
      </w:r>
      <w:r>
        <w:rPr>
          <w:spacing w:val="-6"/>
          <w:sz w:val="24"/>
        </w:rPr>
        <w:t> </w:t>
      </w:r>
      <w:r>
        <w:rPr>
          <w:sz w:val="24"/>
        </w:rPr>
        <w:t>School’s</w:t>
      </w:r>
      <w:r>
        <w:rPr>
          <w:spacing w:val="-4"/>
          <w:sz w:val="24"/>
        </w:rPr>
        <w:t> </w:t>
      </w:r>
      <w:r>
        <w:rPr>
          <w:sz w:val="24"/>
        </w:rPr>
        <w:t>service</w:t>
      </w:r>
      <w:r>
        <w:rPr>
          <w:spacing w:val="-4"/>
          <w:sz w:val="24"/>
        </w:rPr>
        <w:t> </w:t>
      </w:r>
      <w:r>
        <w:rPr>
          <w:sz w:val="24"/>
        </w:rPr>
        <w:t>mission,</w:t>
      </w:r>
      <w:r>
        <w:rPr>
          <w:spacing w:val="-4"/>
          <w:sz w:val="24"/>
        </w:rPr>
        <w:t> </w:t>
      </w:r>
      <w:r>
        <w:rPr>
          <w:sz w:val="24"/>
        </w:rPr>
        <w:t>values,</w:t>
      </w:r>
      <w:r>
        <w:rPr>
          <w:spacing w:val="-4"/>
          <w:sz w:val="24"/>
        </w:rPr>
        <w:t> </w:t>
      </w:r>
      <w:r>
        <w:rPr>
          <w:sz w:val="24"/>
        </w:rPr>
        <w:t>and</w:t>
      </w:r>
      <w:r>
        <w:rPr>
          <w:spacing w:val="-2"/>
          <w:sz w:val="24"/>
        </w:rPr>
        <w:t> goals;</w:t>
      </w:r>
    </w:p>
    <w:p>
      <w:pPr>
        <w:pStyle w:val="ListParagraph"/>
        <w:numPr>
          <w:ilvl w:val="0"/>
          <w:numId w:val="11"/>
        </w:numPr>
        <w:tabs>
          <w:tab w:pos="931" w:val="left" w:leader="none"/>
        </w:tabs>
        <w:spacing w:line="290" w:lineRule="exact" w:before="0" w:after="0"/>
        <w:ind w:left="931" w:right="0" w:hanging="451"/>
        <w:jc w:val="left"/>
        <w:rPr>
          <w:sz w:val="24"/>
        </w:rPr>
      </w:pPr>
      <w:r>
        <w:rPr>
          <w:sz w:val="24"/>
        </w:rPr>
        <w:t>Irresponsible</w:t>
      </w:r>
      <w:r>
        <w:rPr>
          <w:spacing w:val="-13"/>
          <w:sz w:val="24"/>
        </w:rPr>
        <w:t> </w:t>
      </w:r>
      <w:r>
        <w:rPr>
          <w:sz w:val="24"/>
        </w:rPr>
        <w:t>service,</w:t>
      </w:r>
      <w:r>
        <w:rPr>
          <w:spacing w:val="-11"/>
          <w:sz w:val="24"/>
        </w:rPr>
        <w:t> </w:t>
      </w:r>
      <w:r>
        <w:rPr>
          <w:sz w:val="24"/>
        </w:rPr>
        <w:t>including</w:t>
      </w:r>
      <w:r>
        <w:rPr>
          <w:spacing w:val="-13"/>
          <w:sz w:val="24"/>
        </w:rPr>
        <w:t> </w:t>
      </w:r>
      <w:r>
        <w:rPr>
          <w:sz w:val="24"/>
        </w:rPr>
        <w:t>the</w:t>
      </w:r>
      <w:r>
        <w:rPr>
          <w:spacing w:val="-10"/>
          <w:sz w:val="24"/>
        </w:rPr>
        <w:t> </w:t>
      </w:r>
      <w:r>
        <w:rPr>
          <w:sz w:val="24"/>
        </w:rPr>
        <w:t>failure</w:t>
      </w:r>
      <w:r>
        <w:rPr>
          <w:spacing w:val="-10"/>
          <w:sz w:val="24"/>
        </w:rPr>
        <w:t> </w:t>
      </w:r>
      <w:r>
        <w:rPr>
          <w:sz w:val="24"/>
        </w:rPr>
        <w:t>to</w:t>
      </w:r>
      <w:r>
        <w:rPr>
          <w:spacing w:val="-10"/>
          <w:sz w:val="24"/>
        </w:rPr>
        <w:t> </w:t>
      </w:r>
      <w:r>
        <w:rPr>
          <w:sz w:val="24"/>
        </w:rPr>
        <w:t>complete</w:t>
      </w:r>
      <w:r>
        <w:rPr>
          <w:spacing w:val="-10"/>
          <w:sz w:val="24"/>
        </w:rPr>
        <w:t> </w:t>
      </w:r>
      <w:r>
        <w:rPr>
          <w:sz w:val="24"/>
        </w:rPr>
        <w:t>assignments</w:t>
      </w:r>
      <w:r>
        <w:rPr>
          <w:spacing w:val="-12"/>
          <w:sz w:val="24"/>
        </w:rPr>
        <w:t> </w:t>
      </w:r>
      <w:r>
        <w:rPr>
          <w:sz w:val="24"/>
        </w:rPr>
        <w:t>or</w:t>
      </w:r>
      <w:r>
        <w:rPr>
          <w:spacing w:val="-11"/>
          <w:sz w:val="24"/>
        </w:rPr>
        <w:t> </w:t>
      </w:r>
      <w:r>
        <w:rPr>
          <w:sz w:val="24"/>
        </w:rPr>
        <w:t>attend</w:t>
      </w:r>
      <w:r>
        <w:rPr>
          <w:spacing w:val="-11"/>
          <w:sz w:val="24"/>
        </w:rPr>
        <w:t> </w:t>
      </w:r>
      <w:r>
        <w:rPr>
          <w:spacing w:val="-2"/>
          <w:sz w:val="24"/>
        </w:rPr>
        <w:t>meetings;</w:t>
      </w:r>
    </w:p>
    <w:p>
      <w:pPr>
        <w:pStyle w:val="ListParagraph"/>
        <w:numPr>
          <w:ilvl w:val="0"/>
          <w:numId w:val="11"/>
        </w:numPr>
        <w:tabs>
          <w:tab w:pos="931" w:val="left" w:leader="none"/>
        </w:tabs>
        <w:spacing w:line="283" w:lineRule="exact" w:before="0" w:after="0"/>
        <w:ind w:left="931" w:right="0" w:hanging="451"/>
        <w:jc w:val="left"/>
        <w:rPr>
          <w:sz w:val="24"/>
        </w:rPr>
      </w:pPr>
      <w:r>
        <w:rPr>
          <w:sz w:val="24"/>
        </w:rPr>
        <w:t>Failure</w:t>
      </w:r>
      <w:r>
        <w:rPr>
          <w:spacing w:val="-12"/>
          <w:sz w:val="24"/>
        </w:rPr>
        <w:t> </w:t>
      </w:r>
      <w:r>
        <w:rPr>
          <w:sz w:val="24"/>
        </w:rPr>
        <w:t>to</w:t>
      </w:r>
      <w:r>
        <w:rPr>
          <w:spacing w:val="-12"/>
          <w:sz w:val="24"/>
        </w:rPr>
        <w:t> </w:t>
      </w:r>
      <w:r>
        <w:rPr>
          <w:sz w:val="24"/>
        </w:rPr>
        <w:t>participate</w:t>
      </w:r>
      <w:r>
        <w:rPr>
          <w:spacing w:val="-7"/>
          <w:sz w:val="24"/>
        </w:rPr>
        <w:t> </w:t>
      </w:r>
      <w:r>
        <w:rPr>
          <w:sz w:val="24"/>
        </w:rPr>
        <w:t>in</w:t>
      </w:r>
      <w:r>
        <w:rPr>
          <w:spacing w:val="-10"/>
          <w:sz w:val="24"/>
        </w:rPr>
        <w:t> </w:t>
      </w:r>
      <w:r>
        <w:rPr>
          <w:sz w:val="24"/>
        </w:rPr>
        <w:t>disciplinary</w:t>
      </w:r>
      <w:r>
        <w:rPr>
          <w:spacing w:val="-8"/>
          <w:sz w:val="24"/>
        </w:rPr>
        <w:t> </w:t>
      </w:r>
      <w:r>
        <w:rPr>
          <w:sz w:val="24"/>
        </w:rPr>
        <w:t>conferences</w:t>
      </w:r>
      <w:r>
        <w:rPr>
          <w:spacing w:val="-10"/>
          <w:sz w:val="24"/>
        </w:rPr>
        <w:t> </w:t>
      </w:r>
      <w:r>
        <w:rPr>
          <w:sz w:val="24"/>
        </w:rPr>
        <w:t>or</w:t>
      </w:r>
      <w:r>
        <w:rPr>
          <w:spacing w:val="-10"/>
          <w:sz w:val="24"/>
        </w:rPr>
        <w:t> </w:t>
      </w:r>
      <w:r>
        <w:rPr>
          <w:spacing w:val="-2"/>
          <w:sz w:val="24"/>
        </w:rPr>
        <w:t>meetings;</w:t>
      </w:r>
    </w:p>
    <w:p>
      <w:pPr>
        <w:pStyle w:val="ListParagraph"/>
        <w:numPr>
          <w:ilvl w:val="0"/>
          <w:numId w:val="11"/>
        </w:numPr>
        <w:tabs>
          <w:tab w:pos="931" w:val="left" w:leader="none"/>
        </w:tabs>
        <w:spacing w:line="230" w:lineRule="auto" w:before="1" w:after="0"/>
        <w:ind w:left="931" w:right="1307" w:hanging="452"/>
        <w:jc w:val="left"/>
        <w:rPr>
          <w:sz w:val="24"/>
        </w:rPr>
      </w:pPr>
      <w:r>
        <w:rPr>
          <w:sz w:val="24"/>
        </w:rPr>
        <w:t>Generally</w:t>
      </w:r>
      <w:r>
        <w:rPr>
          <w:spacing w:val="-14"/>
          <w:sz w:val="24"/>
        </w:rPr>
        <w:t> </w:t>
      </w:r>
      <w:r>
        <w:rPr>
          <w:sz w:val="24"/>
        </w:rPr>
        <w:t>unfavorable</w:t>
      </w:r>
      <w:r>
        <w:rPr>
          <w:spacing w:val="-14"/>
          <w:sz w:val="24"/>
        </w:rPr>
        <w:t> </w:t>
      </w:r>
      <w:r>
        <w:rPr>
          <w:sz w:val="24"/>
        </w:rPr>
        <w:t>reviews</w:t>
      </w:r>
      <w:r>
        <w:rPr>
          <w:spacing w:val="-13"/>
          <w:sz w:val="24"/>
        </w:rPr>
        <w:t> </w:t>
      </w:r>
      <w:r>
        <w:rPr>
          <w:sz w:val="24"/>
        </w:rPr>
        <w:t>from</w:t>
      </w:r>
      <w:r>
        <w:rPr>
          <w:spacing w:val="-13"/>
          <w:sz w:val="24"/>
        </w:rPr>
        <w:t> </w:t>
      </w:r>
      <w:r>
        <w:rPr>
          <w:sz w:val="24"/>
        </w:rPr>
        <w:t>colleagues</w:t>
      </w:r>
      <w:r>
        <w:rPr>
          <w:spacing w:val="-14"/>
          <w:sz w:val="24"/>
        </w:rPr>
        <w:t> </w:t>
      </w:r>
      <w:r>
        <w:rPr>
          <w:sz w:val="24"/>
        </w:rPr>
        <w:t>and</w:t>
      </w:r>
      <w:r>
        <w:rPr>
          <w:spacing w:val="-12"/>
          <w:sz w:val="24"/>
        </w:rPr>
        <w:t> </w:t>
      </w:r>
      <w:r>
        <w:rPr>
          <w:sz w:val="24"/>
        </w:rPr>
        <w:t>administrators</w:t>
      </w:r>
      <w:r>
        <w:rPr>
          <w:spacing w:val="-14"/>
          <w:sz w:val="24"/>
        </w:rPr>
        <w:t> </w:t>
      </w:r>
      <w:r>
        <w:rPr>
          <w:sz w:val="24"/>
        </w:rPr>
        <w:t>for</w:t>
      </w:r>
      <w:r>
        <w:rPr>
          <w:spacing w:val="-13"/>
          <w:sz w:val="24"/>
        </w:rPr>
        <w:t> </w:t>
      </w:r>
      <w:r>
        <w:rPr>
          <w:sz w:val="24"/>
        </w:rPr>
        <w:t>his/her </w:t>
      </w:r>
      <w:r>
        <w:rPr>
          <w:spacing w:val="-2"/>
          <w:sz w:val="24"/>
        </w:rPr>
        <w:t>contributions.</w:t>
      </w:r>
    </w:p>
    <w:p>
      <w:pPr>
        <w:pStyle w:val="Heading1"/>
        <w:numPr>
          <w:ilvl w:val="1"/>
          <w:numId w:val="1"/>
        </w:numPr>
        <w:tabs>
          <w:tab w:pos="478" w:val="left" w:leader="none"/>
        </w:tabs>
        <w:spacing w:line="240" w:lineRule="auto" w:before="271" w:after="0"/>
        <w:ind w:left="478" w:right="0" w:hanging="358"/>
        <w:jc w:val="left"/>
      </w:pPr>
      <w:bookmarkStart w:name="C. Integrated Diversity, Equity, and Inc" w:id="31"/>
      <w:bookmarkEnd w:id="31"/>
      <w:r>
        <w:rPr>
          <w:b w:val="0"/>
        </w:rPr>
      </w:r>
      <w:r>
        <w:rPr/>
        <w:t>Integrated</w:t>
      </w:r>
      <w:r>
        <w:rPr>
          <w:spacing w:val="-10"/>
        </w:rPr>
        <w:t> </w:t>
      </w:r>
      <w:r>
        <w:rPr/>
        <w:t>Diversity,</w:t>
      </w:r>
      <w:r>
        <w:rPr>
          <w:spacing w:val="-9"/>
        </w:rPr>
        <w:t> </w:t>
      </w:r>
      <w:r>
        <w:rPr/>
        <w:t>Equity,</w:t>
      </w:r>
      <w:r>
        <w:rPr>
          <w:spacing w:val="-9"/>
        </w:rPr>
        <w:t> </w:t>
      </w:r>
      <w:r>
        <w:rPr/>
        <w:t>and</w:t>
      </w:r>
      <w:r>
        <w:rPr>
          <w:spacing w:val="-11"/>
        </w:rPr>
        <w:t> </w:t>
      </w:r>
      <w:r>
        <w:rPr/>
        <w:t>Inclusion</w:t>
      </w:r>
      <w:r>
        <w:rPr>
          <w:spacing w:val="-9"/>
        </w:rPr>
        <w:t> </w:t>
      </w:r>
      <w:r>
        <w:rPr/>
        <w:t>(DEI)</w:t>
      </w:r>
      <w:r>
        <w:rPr>
          <w:spacing w:val="-12"/>
        </w:rPr>
        <w:t> </w:t>
      </w:r>
      <w:r>
        <w:rPr/>
        <w:t>Case</w:t>
      </w:r>
      <w:r>
        <w:rPr>
          <w:spacing w:val="-11"/>
        </w:rPr>
        <w:t> </w:t>
      </w:r>
      <w:r>
        <w:rPr/>
        <w:t>and</w:t>
      </w:r>
      <w:r>
        <w:rPr>
          <w:spacing w:val="-12"/>
        </w:rPr>
        <w:t> </w:t>
      </w:r>
      <w:r>
        <w:rPr/>
        <w:t>Integrated</w:t>
      </w:r>
      <w:r>
        <w:rPr>
          <w:spacing w:val="-11"/>
        </w:rPr>
        <w:t> </w:t>
      </w:r>
      <w:r>
        <w:rPr/>
        <w:t>Thematic</w:t>
      </w:r>
      <w:r>
        <w:rPr>
          <w:spacing w:val="-11"/>
        </w:rPr>
        <w:t> </w:t>
      </w:r>
      <w:r>
        <w:rPr>
          <w:spacing w:val="-2"/>
        </w:rPr>
        <w:t>Case.</w:t>
      </w:r>
    </w:p>
    <w:p>
      <w:pPr>
        <w:pStyle w:val="BodyText"/>
        <w:ind w:left="480" w:right="330"/>
      </w:pPr>
      <w:r>
        <w:rPr>
          <w:spacing w:val="-2"/>
        </w:rPr>
        <w:t>DEI</w:t>
      </w:r>
      <w:r>
        <w:rPr>
          <w:spacing w:val="-6"/>
        </w:rPr>
        <w:t> </w:t>
      </w:r>
      <w:r>
        <w:rPr>
          <w:spacing w:val="-2"/>
        </w:rPr>
        <w:t>candidates</w:t>
      </w:r>
      <w:r>
        <w:rPr>
          <w:spacing w:val="-6"/>
        </w:rPr>
        <w:t> </w:t>
      </w:r>
      <w:r>
        <w:rPr>
          <w:spacing w:val="-2"/>
        </w:rPr>
        <w:t>are</w:t>
      </w:r>
      <w:r>
        <w:rPr>
          <w:spacing w:val="-5"/>
        </w:rPr>
        <w:t> </w:t>
      </w:r>
      <w:r>
        <w:rPr>
          <w:spacing w:val="-2"/>
        </w:rPr>
        <w:t>evaluated</w:t>
      </w:r>
      <w:r>
        <w:rPr>
          <w:spacing w:val="-4"/>
        </w:rPr>
        <w:t> </w:t>
      </w:r>
      <w:r>
        <w:rPr>
          <w:spacing w:val="-2"/>
        </w:rPr>
        <w:t>on</w:t>
      </w:r>
      <w:r>
        <w:rPr>
          <w:spacing w:val="-7"/>
        </w:rPr>
        <w:t> </w:t>
      </w:r>
      <w:r>
        <w:rPr>
          <w:spacing w:val="-2"/>
        </w:rPr>
        <w:t>Teaching</w:t>
      </w:r>
      <w:r>
        <w:rPr>
          <w:spacing w:val="-6"/>
        </w:rPr>
        <w:t> </w:t>
      </w:r>
      <w:r>
        <w:rPr>
          <w:spacing w:val="-2"/>
        </w:rPr>
        <w:t>DEI</w:t>
      </w:r>
      <w:r>
        <w:rPr>
          <w:spacing w:val="-6"/>
        </w:rPr>
        <w:t> </w:t>
      </w:r>
      <w:r>
        <w:rPr>
          <w:spacing w:val="-2"/>
        </w:rPr>
        <w:t>Excellence</w:t>
      </w:r>
      <w:r>
        <w:rPr>
          <w:spacing w:val="-5"/>
        </w:rPr>
        <w:t> </w:t>
      </w:r>
      <w:r>
        <w:rPr>
          <w:spacing w:val="-2"/>
        </w:rPr>
        <w:t>only,</w:t>
      </w:r>
      <w:r>
        <w:rPr>
          <w:spacing w:val="-5"/>
        </w:rPr>
        <w:t> </w:t>
      </w:r>
      <w:r>
        <w:rPr>
          <w:spacing w:val="-2"/>
        </w:rPr>
        <w:t>thus</w:t>
      </w:r>
      <w:r>
        <w:rPr>
          <w:spacing w:val="-6"/>
        </w:rPr>
        <w:t> </w:t>
      </w:r>
      <w:r>
        <w:rPr>
          <w:spacing w:val="-2"/>
        </w:rPr>
        <w:t>teaching</w:t>
      </w:r>
      <w:r>
        <w:rPr>
          <w:spacing w:val="-8"/>
        </w:rPr>
        <w:t> </w:t>
      </w:r>
      <w:r>
        <w:rPr>
          <w:spacing w:val="-2"/>
        </w:rPr>
        <w:t>and</w:t>
      </w:r>
      <w:r>
        <w:rPr>
          <w:spacing w:val="-4"/>
        </w:rPr>
        <w:t> </w:t>
      </w:r>
      <w:r>
        <w:rPr>
          <w:spacing w:val="-2"/>
        </w:rPr>
        <w:t>service</w:t>
      </w:r>
      <w:r>
        <w:rPr>
          <w:spacing w:val="-5"/>
        </w:rPr>
        <w:t> </w:t>
      </w:r>
      <w:r>
        <w:rPr>
          <w:spacing w:val="-2"/>
        </w:rPr>
        <w:t>are </w:t>
      </w:r>
      <w:r>
        <w:rPr/>
        <w:t>not separately rated.</w:t>
      </w:r>
    </w:p>
    <w:p>
      <w:pPr>
        <w:pStyle w:val="BodyText"/>
        <w:spacing w:before="50"/>
      </w:pPr>
    </w:p>
    <w:p>
      <w:pPr>
        <w:pStyle w:val="BodyText"/>
        <w:ind w:left="479" w:right="118" w:firstLine="480"/>
      </w:pPr>
      <w:r>
        <w:rPr/>
        <w:t>It is up to the candidate to articulate the ‘excellence’ of their activities in terms of aggregate innovation, scope, quality, and outcomes. The absolute number of activities will vary</w:t>
      </w:r>
      <w:r>
        <w:rPr>
          <w:spacing w:val="-2"/>
        </w:rPr>
        <w:t> </w:t>
      </w:r>
      <w:r>
        <w:rPr/>
        <w:t>from</w:t>
      </w:r>
      <w:r>
        <w:rPr>
          <w:spacing w:val="-4"/>
        </w:rPr>
        <w:t> </w:t>
      </w:r>
      <w:r>
        <w:rPr/>
        <w:t>person</w:t>
      </w:r>
      <w:r>
        <w:rPr>
          <w:spacing w:val="-3"/>
        </w:rPr>
        <w:t> </w:t>
      </w:r>
      <w:r>
        <w:rPr/>
        <w:t>to</w:t>
      </w:r>
      <w:r>
        <w:rPr>
          <w:spacing w:val="-3"/>
        </w:rPr>
        <w:t> </w:t>
      </w:r>
      <w:r>
        <w:rPr/>
        <w:t>person:</w:t>
      </w:r>
      <w:r>
        <w:rPr>
          <w:spacing w:val="-3"/>
        </w:rPr>
        <w:t> </w:t>
      </w:r>
      <w:r>
        <w:rPr/>
        <w:t>one</w:t>
      </w:r>
      <w:r>
        <w:rPr>
          <w:spacing w:val="-3"/>
        </w:rPr>
        <w:t> </w:t>
      </w:r>
      <w:r>
        <w:rPr/>
        <w:t>might</w:t>
      </w:r>
      <w:r>
        <w:rPr>
          <w:spacing w:val="-3"/>
        </w:rPr>
        <w:t> </w:t>
      </w:r>
      <w:r>
        <w:rPr/>
        <w:t>have</w:t>
      </w:r>
      <w:r>
        <w:rPr>
          <w:spacing w:val="-1"/>
        </w:rPr>
        <w:t> </w:t>
      </w:r>
      <w:r>
        <w:rPr/>
        <w:t>a</w:t>
      </w:r>
      <w:r>
        <w:rPr>
          <w:spacing w:val="-4"/>
        </w:rPr>
        <w:t> </w:t>
      </w:r>
      <w:r>
        <w:rPr/>
        <w:t>variety</w:t>
      </w:r>
      <w:r>
        <w:rPr>
          <w:spacing w:val="-2"/>
        </w:rPr>
        <w:t> </w:t>
      </w:r>
      <w:r>
        <w:rPr/>
        <w:t>of</w:t>
      </w:r>
      <w:r>
        <w:rPr>
          <w:spacing w:val="-1"/>
        </w:rPr>
        <w:t> </w:t>
      </w:r>
      <w:r>
        <w:rPr/>
        <w:t>smaller-scale</w:t>
      </w:r>
      <w:r>
        <w:rPr>
          <w:spacing w:val="-1"/>
        </w:rPr>
        <w:t> </w:t>
      </w:r>
      <w:r>
        <w:rPr/>
        <w:t>items,</w:t>
      </w:r>
      <w:r>
        <w:rPr>
          <w:spacing w:val="-1"/>
        </w:rPr>
        <w:t> </w:t>
      </w:r>
      <w:r>
        <w:rPr/>
        <w:t>another</w:t>
      </w:r>
      <w:r>
        <w:rPr>
          <w:spacing w:val="-4"/>
        </w:rPr>
        <w:t> </w:t>
      </w:r>
      <w:r>
        <w:rPr/>
        <w:t>person may have a particular large-scale item; one may tackle a small but very difficult problem; another may address a series of important but less challenging areas.</w:t>
      </w:r>
    </w:p>
    <w:p>
      <w:pPr>
        <w:pStyle w:val="BodyText"/>
        <w:spacing w:before="47"/>
      </w:pPr>
    </w:p>
    <w:p>
      <w:pPr>
        <w:pStyle w:val="BodyText"/>
        <w:ind w:left="480" w:right="306"/>
      </w:pPr>
      <w:r>
        <w:rPr>
          <w:b/>
        </w:rPr>
        <w:t>For</w:t>
      </w:r>
      <w:r>
        <w:rPr>
          <w:b/>
          <w:spacing w:val="-7"/>
        </w:rPr>
        <w:t> </w:t>
      </w:r>
      <w:r>
        <w:rPr>
          <w:b/>
        </w:rPr>
        <w:t>the</w:t>
      </w:r>
      <w:r>
        <w:rPr>
          <w:b/>
          <w:spacing w:val="-7"/>
        </w:rPr>
        <w:t> </w:t>
      </w:r>
      <w:r>
        <w:rPr>
          <w:b/>
        </w:rPr>
        <w:t>Integrated</w:t>
      </w:r>
      <w:r>
        <w:rPr>
          <w:b/>
          <w:spacing w:val="-5"/>
        </w:rPr>
        <w:t> </w:t>
      </w:r>
      <w:r>
        <w:rPr>
          <w:b/>
        </w:rPr>
        <w:t>DEI</w:t>
      </w:r>
      <w:r>
        <w:rPr>
          <w:b/>
          <w:spacing w:val="-7"/>
        </w:rPr>
        <w:t> </w:t>
      </w:r>
      <w:r>
        <w:rPr>
          <w:b/>
        </w:rPr>
        <w:t>Case</w:t>
      </w:r>
      <w:r>
        <w:rPr>
          <w:b/>
          <w:spacing w:val="-9"/>
        </w:rPr>
        <w:t> </w:t>
      </w:r>
      <w:r>
        <w:rPr/>
        <w:t>the</w:t>
      </w:r>
      <w:r>
        <w:rPr>
          <w:spacing w:val="-7"/>
        </w:rPr>
        <w:t> </w:t>
      </w:r>
      <w:r>
        <w:rPr/>
        <w:t>signature</w:t>
      </w:r>
      <w:r>
        <w:rPr>
          <w:spacing w:val="-10"/>
        </w:rPr>
        <w:t> </w:t>
      </w:r>
      <w:r>
        <w:rPr/>
        <w:t>activities</w:t>
      </w:r>
      <w:r>
        <w:rPr>
          <w:spacing w:val="-8"/>
        </w:rPr>
        <w:t> </w:t>
      </w:r>
      <w:r>
        <w:rPr/>
        <w:t>should</w:t>
      </w:r>
      <w:r>
        <w:rPr>
          <w:spacing w:val="-7"/>
        </w:rPr>
        <w:t> </w:t>
      </w:r>
      <w:r>
        <w:rPr/>
        <w:t>advance</w:t>
      </w:r>
      <w:r>
        <w:rPr>
          <w:spacing w:val="-10"/>
        </w:rPr>
        <w:t> </w:t>
      </w:r>
      <w:r>
        <w:rPr/>
        <w:t>DEI</w:t>
      </w:r>
      <w:r>
        <w:rPr>
          <w:spacing w:val="-8"/>
        </w:rPr>
        <w:t> </w:t>
      </w:r>
      <w:r>
        <w:rPr/>
        <w:t>at</w:t>
      </w:r>
      <w:r>
        <w:rPr>
          <w:spacing w:val="-9"/>
        </w:rPr>
        <w:t> </w:t>
      </w:r>
      <w:r>
        <w:rPr/>
        <w:t>IUPUI</w:t>
      </w:r>
      <w:r>
        <w:rPr>
          <w:spacing w:val="-9"/>
        </w:rPr>
        <w:t> </w:t>
      </w:r>
      <w:r>
        <w:rPr/>
        <w:t>or</w:t>
      </w:r>
      <w:r>
        <w:rPr>
          <w:spacing w:val="-8"/>
        </w:rPr>
        <w:t> </w:t>
      </w:r>
      <w:r>
        <w:rPr/>
        <w:t>Kelley, but need not be classified or be based within traditional teaching categories, thus any of these would be acceptable and the list is not exhaustive:</w:t>
      </w:r>
    </w:p>
    <w:p>
      <w:pPr>
        <w:pStyle w:val="BodyText"/>
        <w:spacing w:before="1"/>
      </w:pPr>
    </w:p>
    <w:p>
      <w:pPr>
        <w:pStyle w:val="ListParagraph"/>
        <w:numPr>
          <w:ilvl w:val="2"/>
          <w:numId w:val="1"/>
        </w:numPr>
        <w:tabs>
          <w:tab w:pos="1560" w:val="left" w:leader="none"/>
        </w:tabs>
        <w:spacing w:line="240" w:lineRule="auto" w:before="0" w:after="0"/>
        <w:ind w:left="1560" w:right="184" w:hanging="360"/>
        <w:jc w:val="left"/>
        <w:rPr>
          <w:rFonts w:ascii="Symbol" w:hAnsi="Symbol"/>
          <w:sz w:val="24"/>
        </w:rPr>
      </w:pPr>
      <w:r>
        <w:rPr>
          <w:sz w:val="24"/>
        </w:rPr>
        <w:t>Inclusive classroom practices. For clinical faculty, not only work on making one’s own</w:t>
      </w:r>
      <w:r>
        <w:rPr>
          <w:spacing w:val="-9"/>
          <w:sz w:val="24"/>
        </w:rPr>
        <w:t> </w:t>
      </w:r>
      <w:r>
        <w:rPr>
          <w:sz w:val="24"/>
        </w:rPr>
        <w:t>courses</w:t>
      </w:r>
      <w:r>
        <w:rPr>
          <w:spacing w:val="-10"/>
          <w:sz w:val="24"/>
        </w:rPr>
        <w:t> </w:t>
      </w:r>
      <w:r>
        <w:rPr>
          <w:sz w:val="24"/>
        </w:rPr>
        <w:t>inclusive,</w:t>
      </w:r>
      <w:r>
        <w:rPr>
          <w:spacing w:val="-10"/>
          <w:sz w:val="24"/>
        </w:rPr>
        <w:t> </w:t>
      </w:r>
      <w:r>
        <w:rPr>
          <w:sz w:val="24"/>
        </w:rPr>
        <w:t>but</w:t>
      </w:r>
      <w:r>
        <w:rPr>
          <w:spacing w:val="-9"/>
          <w:sz w:val="24"/>
        </w:rPr>
        <w:t> </w:t>
      </w:r>
      <w:r>
        <w:rPr>
          <w:sz w:val="24"/>
        </w:rPr>
        <w:t>some</w:t>
      </w:r>
      <w:r>
        <w:rPr>
          <w:spacing w:val="-9"/>
          <w:sz w:val="24"/>
        </w:rPr>
        <w:t> </w:t>
      </w:r>
      <w:r>
        <w:rPr>
          <w:sz w:val="24"/>
        </w:rPr>
        <w:t>other</w:t>
      </w:r>
      <w:r>
        <w:rPr>
          <w:spacing w:val="-12"/>
          <w:sz w:val="24"/>
        </w:rPr>
        <w:t> </w:t>
      </w:r>
      <w:r>
        <w:rPr>
          <w:sz w:val="24"/>
        </w:rPr>
        <w:t>leadership</w:t>
      </w:r>
      <w:r>
        <w:rPr>
          <w:spacing w:val="-9"/>
          <w:sz w:val="24"/>
        </w:rPr>
        <w:t> </w:t>
      </w:r>
      <w:r>
        <w:rPr>
          <w:sz w:val="24"/>
        </w:rPr>
        <w:t>role</w:t>
      </w:r>
      <w:r>
        <w:rPr>
          <w:spacing w:val="-9"/>
          <w:sz w:val="24"/>
        </w:rPr>
        <w:t> </w:t>
      </w:r>
      <w:r>
        <w:rPr>
          <w:sz w:val="24"/>
        </w:rPr>
        <w:t>is</w:t>
      </w:r>
      <w:r>
        <w:rPr>
          <w:spacing w:val="-10"/>
          <w:sz w:val="24"/>
        </w:rPr>
        <w:t> </w:t>
      </w:r>
      <w:r>
        <w:rPr>
          <w:sz w:val="24"/>
        </w:rPr>
        <w:t>expected,</w:t>
      </w:r>
      <w:r>
        <w:rPr>
          <w:spacing w:val="-10"/>
          <w:sz w:val="24"/>
        </w:rPr>
        <w:t> </w:t>
      </w:r>
      <w:r>
        <w:rPr>
          <w:sz w:val="24"/>
        </w:rPr>
        <w:t>such</w:t>
      </w:r>
      <w:r>
        <w:rPr>
          <w:spacing w:val="-9"/>
          <w:sz w:val="24"/>
        </w:rPr>
        <w:t> </w:t>
      </w:r>
      <w:r>
        <w:rPr>
          <w:sz w:val="24"/>
        </w:rPr>
        <w:t>as</w:t>
      </w:r>
      <w:r>
        <w:rPr>
          <w:spacing w:val="-13"/>
          <w:sz w:val="24"/>
        </w:rPr>
        <w:t> </w:t>
      </w:r>
      <w:r>
        <w:rPr>
          <w:sz w:val="24"/>
        </w:rPr>
        <w:t>building inclusivity into course design (for multi-section course directors) or adjunct preparation (for program directors/those who recruit and supervise adjuncts.)</w:t>
      </w:r>
    </w:p>
    <w:p>
      <w:pPr>
        <w:pStyle w:val="ListParagraph"/>
        <w:numPr>
          <w:ilvl w:val="2"/>
          <w:numId w:val="1"/>
        </w:numPr>
        <w:tabs>
          <w:tab w:pos="1560" w:val="left" w:leader="none"/>
        </w:tabs>
        <w:spacing w:line="240" w:lineRule="auto" w:before="0" w:after="0"/>
        <w:ind w:left="1560" w:right="812" w:hanging="360"/>
        <w:jc w:val="left"/>
        <w:rPr>
          <w:rFonts w:ascii="Symbol" w:hAnsi="Symbol"/>
          <w:sz w:val="24"/>
        </w:rPr>
      </w:pPr>
      <w:r>
        <w:rPr>
          <w:sz w:val="24"/>
        </w:rPr>
        <w:t>Recruitment</w:t>
      </w:r>
      <w:r>
        <w:rPr>
          <w:spacing w:val="-9"/>
          <w:sz w:val="24"/>
        </w:rPr>
        <w:t> </w:t>
      </w:r>
      <w:r>
        <w:rPr>
          <w:sz w:val="24"/>
        </w:rPr>
        <w:t>of</w:t>
      </w:r>
      <w:r>
        <w:rPr>
          <w:spacing w:val="-9"/>
          <w:sz w:val="24"/>
        </w:rPr>
        <w:t> </w:t>
      </w:r>
      <w:r>
        <w:rPr>
          <w:sz w:val="24"/>
        </w:rPr>
        <w:t>and</w:t>
      </w:r>
      <w:r>
        <w:rPr>
          <w:spacing w:val="-9"/>
          <w:sz w:val="24"/>
        </w:rPr>
        <w:t> </w:t>
      </w:r>
      <w:r>
        <w:rPr>
          <w:sz w:val="24"/>
        </w:rPr>
        <w:t>support</w:t>
      </w:r>
      <w:r>
        <w:rPr>
          <w:spacing w:val="-11"/>
          <w:sz w:val="24"/>
        </w:rPr>
        <w:t> </w:t>
      </w:r>
      <w:r>
        <w:rPr>
          <w:sz w:val="24"/>
        </w:rPr>
        <w:t>for</w:t>
      </w:r>
      <w:r>
        <w:rPr>
          <w:spacing w:val="-12"/>
          <w:sz w:val="24"/>
        </w:rPr>
        <w:t> </w:t>
      </w:r>
      <w:r>
        <w:rPr>
          <w:sz w:val="24"/>
        </w:rPr>
        <w:t>the</w:t>
      </w:r>
      <w:r>
        <w:rPr>
          <w:spacing w:val="-12"/>
          <w:sz w:val="24"/>
        </w:rPr>
        <w:t> </w:t>
      </w:r>
      <w:r>
        <w:rPr>
          <w:sz w:val="24"/>
        </w:rPr>
        <w:t>educational</w:t>
      </w:r>
      <w:r>
        <w:rPr>
          <w:spacing w:val="-12"/>
          <w:sz w:val="24"/>
        </w:rPr>
        <w:t> </w:t>
      </w:r>
      <w:r>
        <w:rPr>
          <w:sz w:val="24"/>
        </w:rPr>
        <w:t>path</w:t>
      </w:r>
      <w:r>
        <w:rPr>
          <w:spacing w:val="-11"/>
          <w:sz w:val="24"/>
        </w:rPr>
        <w:t> </w:t>
      </w:r>
      <w:r>
        <w:rPr>
          <w:sz w:val="24"/>
        </w:rPr>
        <w:t>of</w:t>
      </w:r>
      <w:r>
        <w:rPr>
          <w:spacing w:val="-9"/>
          <w:sz w:val="24"/>
        </w:rPr>
        <w:t> </w:t>
      </w:r>
      <w:r>
        <w:rPr>
          <w:sz w:val="24"/>
        </w:rPr>
        <w:t>diverse</w:t>
      </w:r>
      <w:r>
        <w:rPr>
          <w:spacing w:val="-9"/>
          <w:sz w:val="24"/>
        </w:rPr>
        <w:t> </w:t>
      </w:r>
      <w:r>
        <w:rPr>
          <w:sz w:val="24"/>
        </w:rPr>
        <w:t>students,</w:t>
      </w:r>
      <w:r>
        <w:rPr>
          <w:spacing w:val="-12"/>
          <w:sz w:val="24"/>
        </w:rPr>
        <w:t> </w:t>
      </w:r>
      <w:r>
        <w:rPr>
          <w:sz w:val="24"/>
        </w:rPr>
        <w:t>for example from high school to IUPUI, from Ivy Tech to IUPUI, from IUPUI undergraduate to graduate level study.</w:t>
      </w:r>
    </w:p>
    <w:p>
      <w:pPr>
        <w:pStyle w:val="ListParagraph"/>
        <w:numPr>
          <w:ilvl w:val="2"/>
          <w:numId w:val="1"/>
        </w:numPr>
        <w:tabs>
          <w:tab w:pos="1559" w:val="left" w:leader="none"/>
        </w:tabs>
        <w:spacing w:line="305" w:lineRule="exact" w:before="0" w:after="0"/>
        <w:ind w:left="1559" w:right="0" w:hanging="359"/>
        <w:jc w:val="left"/>
        <w:rPr>
          <w:rFonts w:ascii="Symbol" w:hAnsi="Symbol"/>
          <w:sz w:val="24"/>
        </w:rPr>
      </w:pPr>
      <w:r>
        <w:rPr>
          <w:sz w:val="24"/>
        </w:rPr>
        <w:t>Advising</w:t>
      </w:r>
      <w:r>
        <w:rPr>
          <w:spacing w:val="-11"/>
          <w:sz w:val="24"/>
        </w:rPr>
        <w:t> </w:t>
      </w:r>
      <w:r>
        <w:rPr>
          <w:sz w:val="24"/>
        </w:rPr>
        <w:t>and</w:t>
      </w:r>
      <w:r>
        <w:rPr>
          <w:spacing w:val="-10"/>
          <w:sz w:val="24"/>
        </w:rPr>
        <w:t> </w:t>
      </w:r>
      <w:r>
        <w:rPr>
          <w:sz w:val="24"/>
        </w:rPr>
        <w:t>mentoring</w:t>
      </w:r>
      <w:r>
        <w:rPr>
          <w:spacing w:val="-11"/>
          <w:sz w:val="24"/>
        </w:rPr>
        <w:t> </w:t>
      </w:r>
      <w:r>
        <w:rPr>
          <w:sz w:val="24"/>
        </w:rPr>
        <w:t>for</w:t>
      </w:r>
      <w:r>
        <w:rPr>
          <w:spacing w:val="-9"/>
          <w:sz w:val="24"/>
        </w:rPr>
        <w:t> </w:t>
      </w:r>
      <w:r>
        <w:rPr>
          <w:sz w:val="24"/>
        </w:rPr>
        <w:t>student</w:t>
      </w:r>
      <w:r>
        <w:rPr>
          <w:spacing w:val="-10"/>
          <w:sz w:val="24"/>
        </w:rPr>
        <w:t> </w:t>
      </w:r>
      <w:r>
        <w:rPr>
          <w:sz w:val="24"/>
        </w:rPr>
        <w:t>success</w:t>
      </w:r>
      <w:r>
        <w:rPr>
          <w:spacing w:val="-9"/>
          <w:sz w:val="24"/>
        </w:rPr>
        <w:t> </w:t>
      </w:r>
      <w:r>
        <w:rPr>
          <w:sz w:val="24"/>
        </w:rPr>
        <w:t>at</w:t>
      </w:r>
      <w:r>
        <w:rPr>
          <w:spacing w:val="-7"/>
          <w:sz w:val="24"/>
        </w:rPr>
        <w:t> </w:t>
      </w:r>
      <w:r>
        <w:rPr>
          <w:spacing w:val="-2"/>
          <w:sz w:val="24"/>
        </w:rPr>
        <w:t>IUPUI.</w:t>
      </w:r>
    </w:p>
    <w:p>
      <w:pPr>
        <w:pStyle w:val="ListParagraph"/>
        <w:numPr>
          <w:ilvl w:val="2"/>
          <w:numId w:val="1"/>
        </w:numPr>
        <w:tabs>
          <w:tab w:pos="1560" w:val="left" w:leader="none"/>
        </w:tabs>
        <w:spacing w:line="242" w:lineRule="auto" w:before="0" w:after="0"/>
        <w:ind w:left="1560" w:right="260" w:hanging="360"/>
        <w:jc w:val="left"/>
        <w:rPr>
          <w:rFonts w:ascii="Symbol" w:hAnsi="Symbol"/>
          <w:sz w:val="24"/>
        </w:rPr>
      </w:pPr>
      <w:r>
        <w:rPr>
          <w:sz w:val="24"/>
        </w:rPr>
        <w:t>Coordinated with one’s own department, work with pre-college students that supports</w:t>
      </w:r>
      <w:r>
        <w:rPr>
          <w:spacing w:val="-13"/>
          <w:sz w:val="24"/>
        </w:rPr>
        <w:t> </w:t>
      </w:r>
      <w:r>
        <w:rPr>
          <w:sz w:val="24"/>
        </w:rPr>
        <w:t>the</w:t>
      </w:r>
      <w:r>
        <w:rPr>
          <w:spacing w:val="-10"/>
          <w:sz w:val="24"/>
        </w:rPr>
        <w:t> </w:t>
      </w:r>
      <w:r>
        <w:rPr>
          <w:sz w:val="24"/>
        </w:rPr>
        <w:t>educational</w:t>
      </w:r>
      <w:r>
        <w:rPr>
          <w:spacing w:val="-13"/>
          <w:sz w:val="24"/>
        </w:rPr>
        <w:t> </w:t>
      </w:r>
      <w:r>
        <w:rPr>
          <w:sz w:val="24"/>
        </w:rPr>
        <w:t>pursuits</w:t>
      </w:r>
      <w:r>
        <w:rPr>
          <w:spacing w:val="-11"/>
          <w:sz w:val="24"/>
        </w:rPr>
        <w:t> </w:t>
      </w:r>
      <w:r>
        <w:rPr>
          <w:sz w:val="24"/>
        </w:rPr>
        <w:t>of</w:t>
      </w:r>
      <w:r>
        <w:rPr>
          <w:spacing w:val="-12"/>
          <w:sz w:val="24"/>
        </w:rPr>
        <w:t> </w:t>
      </w:r>
      <w:r>
        <w:rPr>
          <w:sz w:val="24"/>
        </w:rPr>
        <w:t>diverse</w:t>
      </w:r>
      <w:r>
        <w:rPr>
          <w:spacing w:val="-10"/>
          <w:sz w:val="24"/>
        </w:rPr>
        <w:t> </w:t>
      </w:r>
      <w:r>
        <w:rPr>
          <w:sz w:val="24"/>
        </w:rPr>
        <w:t>students,</w:t>
      </w:r>
      <w:r>
        <w:rPr>
          <w:spacing w:val="-11"/>
          <w:sz w:val="24"/>
        </w:rPr>
        <w:t> </w:t>
      </w:r>
      <w:r>
        <w:rPr>
          <w:sz w:val="24"/>
        </w:rPr>
        <w:t>e.g.</w:t>
      </w:r>
      <w:r>
        <w:rPr>
          <w:spacing w:val="-12"/>
          <w:sz w:val="24"/>
        </w:rPr>
        <w:t> </w:t>
      </w:r>
      <w:r>
        <w:rPr>
          <w:sz w:val="24"/>
        </w:rPr>
        <w:t>work</w:t>
      </w:r>
      <w:r>
        <w:rPr>
          <w:spacing w:val="-12"/>
          <w:sz w:val="24"/>
        </w:rPr>
        <w:t> </w:t>
      </w:r>
      <w:r>
        <w:rPr>
          <w:sz w:val="24"/>
        </w:rPr>
        <w:t>with</w:t>
      </w:r>
      <w:r>
        <w:rPr>
          <w:spacing w:val="-10"/>
          <w:sz w:val="24"/>
        </w:rPr>
        <w:t> </w:t>
      </w:r>
      <w:r>
        <w:rPr>
          <w:sz w:val="24"/>
        </w:rPr>
        <w:t>science</w:t>
      </w:r>
      <w:r>
        <w:rPr>
          <w:spacing w:val="-10"/>
          <w:sz w:val="24"/>
        </w:rPr>
        <w:t> </w:t>
      </w:r>
      <w:r>
        <w:rPr>
          <w:sz w:val="24"/>
        </w:rPr>
        <w:t>fairs,</w:t>
      </w:r>
    </w:p>
    <w:p>
      <w:pPr>
        <w:pStyle w:val="BodyText"/>
        <w:spacing w:before="114"/>
        <w:rPr>
          <w:sz w:val="20"/>
        </w:rPr>
      </w:pPr>
      <w:r>
        <w:rPr/>
        <mc:AlternateContent>
          <mc:Choice Requires="wps">
            <w:drawing>
              <wp:anchor distT="0" distB="0" distL="0" distR="0" allowOverlap="1" layoutInCell="1" locked="0" behindDoc="1" simplePos="0" relativeHeight="487594496">
                <wp:simplePos x="0" y="0"/>
                <wp:positionH relativeFrom="page">
                  <wp:posOffset>914400</wp:posOffset>
                </wp:positionH>
                <wp:positionV relativeFrom="paragraph">
                  <wp:posOffset>242875</wp:posOffset>
                </wp:positionV>
                <wp:extent cx="1828800" cy="76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9.124063pt;width:144pt;height:.599pt;mso-position-horizontal-relative:page;mso-position-vertical-relative:paragraph;z-index:-15721984;mso-wrap-distance-left:0;mso-wrap-distance-right:0" id="docshape14" filled="true" fillcolor="#000000" stroked="false">
                <v:fill type="solid"/>
                <w10:wrap type="topAndBottom"/>
              </v:rect>
            </w:pict>
          </mc:Fallback>
        </mc:AlternateContent>
      </w:r>
    </w:p>
    <w:p>
      <w:pPr>
        <w:spacing w:before="104"/>
        <w:ind w:left="119" w:right="0" w:firstLine="0"/>
        <w:jc w:val="left"/>
        <w:rPr>
          <w:sz w:val="20"/>
        </w:rPr>
      </w:pPr>
      <w:bookmarkStart w:name="_bookmark15" w:id="32"/>
      <w:bookmarkEnd w:id="32"/>
      <w:r>
        <w:rPr/>
      </w:r>
      <w:r>
        <w:rPr>
          <w:sz w:val="20"/>
          <w:vertAlign w:val="superscript"/>
        </w:rPr>
        <w:t>16</w:t>
      </w:r>
      <w:r>
        <w:rPr>
          <w:sz w:val="20"/>
          <w:vertAlign w:val="baseline"/>
        </w:rPr>
        <w:t> The text’s list of potentially relevant considerations is not meant to be all-inclusive. One or more is meant to emphasize</w:t>
      </w:r>
      <w:r>
        <w:rPr>
          <w:spacing w:val="-3"/>
          <w:sz w:val="20"/>
          <w:vertAlign w:val="baseline"/>
        </w:rPr>
        <w:t> </w:t>
      </w:r>
      <w:r>
        <w:rPr>
          <w:sz w:val="20"/>
          <w:vertAlign w:val="baseline"/>
        </w:rPr>
        <w:t>that</w:t>
      </w:r>
      <w:r>
        <w:rPr>
          <w:spacing w:val="-2"/>
          <w:sz w:val="20"/>
          <w:vertAlign w:val="baseline"/>
        </w:rPr>
        <w:t> </w:t>
      </w:r>
      <w:r>
        <w:rPr>
          <w:sz w:val="20"/>
          <w:vertAlign w:val="baseline"/>
        </w:rPr>
        <w:t>evidence</w:t>
      </w:r>
      <w:r>
        <w:rPr>
          <w:spacing w:val="-3"/>
          <w:sz w:val="20"/>
          <w:vertAlign w:val="baseline"/>
        </w:rPr>
        <w:t> </w:t>
      </w:r>
      <w:r>
        <w:rPr>
          <w:sz w:val="20"/>
          <w:vertAlign w:val="baseline"/>
        </w:rPr>
        <w:t>pertaining</w:t>
      </w:r>
      <w:r>
        <w:rPr>
          <w:spacing w:val="-2"/>
          <w:sz w:val="20"/>
          <w:vertAlign w:val="baseline"/>
        </w:rPr>
        <w:t> </w:t>
      </w:r>
      <w:r>
        <w:rPr>
          <w:sz w:val="20"/>
          <w:vertAlign w:val="baseline"/>
        </w:rPr>
        <w:t>to</w:t>
      </w:r>
      <w:r>
        <w:rPr>
          <w:spacing w:val="-2"/>
          <w:sz w:val="20"/>
          <w:vertAlign w:val="baseline"/>
        </w:rPr>
        <w:t> </w:t>
      </w:r>
      <w:r>
        <w:rPr>
          <w:sz w:val="20"/>
          <w:vertAlign w:val="baseline"/>
        </w:rPr>
        <w:t>each</w:t>
      </w:r>
      <w:r>
        <w:rPr>
          <w:spacing w:val="-1"/>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listed</w:t>
      </w:r>
      <w:r>
        <w:rPr>
          <w:spacing w:val="-1"/>
          <w:sz w:val="20"/>
          <w:vertAlign w:val="baseline"/>
        </w:rPr>
        <w:t> </w:t>
      </w:r>
      <w:r>
        <w:rPr>
          <w:sz w:val="20"/>
          <w:vertAlign w:val="baseline"/>
        </w:rPr>
        <w:t>considerations</w:t>
      </w:r>
      <w:r>
        <w:rPr>
          <w:spacing w:val="-1"/>
          <w:sz w:val="20"/>
          <w:vertAlign w:val="baseline"/>
        </w:rPr>
        <w:t> </w:t>
      </w:r>
      <w:r>
        <w:rPr>
          <w:sz w:val="20"/>
          <w:vertAlign w:val="baseline"/>
        </w:rPr>
        <w:t>does</w:t>
      </w:r>
      <w:r>
        <w:rPr>
          <w:spacing w:val="-3"/>
          <w:sz w:val="20"/>
          <w:vertAlign w:val="baseline"/>
        </w:rPr>
        <w:t> </w:t>
      </w:r>
      <w:r>
        <w:rPr>
          <w:sz w:val="20"/>
          <w:vertAlign w:val="baseline"/>
        </w:rPr>
        <w:t>not</w:t>
      </w:r>
      <w:r>
        <w:rPr>
          <w:spacing w:val="-2"/>
          <w:sz w:val="20"/>
          <w:vertAlign w:val="baseline"/>
        </w:rPr>
        <w:t> </w:t>
      </w:r>
      <w:r>
        <w:rPr>
          <w:sz w:val="20"/>
          <w:vertAlign w:val="baseline"/>
        </w:rPr>
        <w:t>need</w:t>
      </w:r>
      <w:r>
        <w:rPr>
          <w:spacing w:val="-1"/>
          <w:sz w:val="20"/>
          <w:vertAlign w:val="baseline"/>
        </w:rPr>
        <w:t> </w:t>
      </w:r>
      <w:r>
        <w:rPr>
          <w:sz w:val="20"/>
          <w:vertAlign w:val="baseline"/>
        </w:rPr>
        <w:t>to</w:t>
      </w:r>
      <w:r>
        <w:rPr>
          <w:spacing w:val="-4"/>
          <w:sz w:val="20"/>
          <w:vertAlign w:val="baseline"/>
        </w:rPr>
        <w:t> </w:t>
      </w:r>
      <w:r>
        <w:rPr>
          <w:sz w:val="20"/>
          <w:vertAlign w:val="baseline"/>
        </w:rPr>
        <w:t>be</w:t>
      </w:r>
      <w:r>
        <w:rPr>
          <w:spacing w:val="-3"/>
          <w:sz w:val="20"/>
          <w:vertAlign w:val="baseline"/>
        </w:rPr>
        <w:t> </w:t>
      </w:r>
      <w:r>
        <w:rPr>
          <w:sz w:val="20"/>
          <w:vertAlign w:val="baseline"/>
        </w:rPr>
        <w:t>present</w:t>
      </w:r>
      <w:r>
        <w:rPr>
          <w:spacing w:val="-2"/>
          <w:sz w:val="20"/>
          <w:vertAlign w:val="baseline"/>
        </w:rPr>
        <w:t> </w:t>
      </w:r>
      <w:r>
        <w:rPr>
          <w:sz w:val="20"/>
          <w:vertAlign w:val="baseline"/>
        </w:rPr>
        <w:t>in</w:t>
      </w:r>
      <w:r>
        <w:rPr>
          <w:spacing w:val="-1"/>
          <w:sz w:val="20"/>
          <w:vertAlign w:val="baseline"/>
        </w:rPr>
        <w:t> </w:t>
      </w:r>
      <w:r>
        <w:rPr>
          <w:sz w:val="20"/>
          <w:vertAlign w:val="baseline"/>
        </w:rPr>
        <w:t>order</w:t>
      </w:r>
      <w:r>
        <w:rPr>
          <w:spacing w:val="-2"/>
          <w:sz w:val="20"/>
          <w:vertAlign w:val="baseline"/>
        </w:rPr>
        <w:t> </w:t>
      </w:r>
      <w:r>
        <w:rPr>
          <w:sz w:val="20"/>
          <w:vertAlign w:val="baseline"/>
        </w:rPr>
        <w:t>for</w:t>
      </w:r>
      <w:r>
        <w:rPr>
          <w:spacing w:val="-2"/>
          <w:sz w:val="20"/>
          <w:vertAlign w:val="baseline"/>
        </w:rPr>
        <w:t> </w:t>
      </w:r>
      <w:r>
        <w:rPr>
          <w:sz w:val="20"/>
          <w:vertAlign w:val="baseline"/>
        </w:rPr>
        <w:t>a rating of unsatisfactory to be warranted.</w:t>
      </w:r>
    </w:p>
    <w:p>
      <w:pPr>
        <w:spacing w:after="0"/>
        <w:jc w:val="left"/>
        <w:rPr>
          <w:sz w:val="20"/>
        </w:rPr>
        <w:sectPr>
          <w:pgSz w:w="12240" w:h="15840"/>
          <w:pgMar w:header="0" w:footer="1712" w:top="1420" w:bottom="1980" w:left="1320" w:right="1180"/>
        </w:sectPr>
      </w:pPr>
    </w:p>
    <w:p>
      <w:pPr>
        <w:pStyle w:val="BodyText"/>
        <w:spacing w:line="292" w:lineRule="exact" w:before="39"/>
        <w:ind w:left="1560"/>
      </w:pPr>
      <w:r>
        <w:rPr/>
        <w:t>with</w:t>
      </w:r>
      <w:r>
        <w:rPr>
          <w:spacing w:val="-9"/>
        </w:rPr>
        <w:t> </w:t>
      </w:r>
      <w:r>
        <w:rPr/>
        <w:t>college</w:t>
      </w:r>
      <w:r>
        <w:rPr>
          <w:spacing w:val="-11"/>
        </w:rPr>
        <w:t> </w:t>
      </w:r>
      <w:r>
        <w:rPr/>
        <w:t>prep,</w:t>
      </w:r>
      <w:r>
        <w:rPr>
          <w:spacing w:val="-9"/>
        </w:rPr>
        <w:t> </w:t>
      </w:r>
      <w:r>
        <w:rPr/>
        <w:t>Upward</w:t>
      </w:r>
      <w:r>
        <w:rPr>
          <w:spacing w:val="-9"/>
        </w:rPr>
        <w:t> </w:t>
      </w:r>
      <w:r>
        <w:rPr/>
        <w:t>Bound,</w:t>
      </w:r>
      <w:r>
        <w:rPr>
          <w:spacing w:val="-10"/>
        </w:rPr>
        <w:t> </w:t>
      </w:r>
      <w:r>
        <w:rPr>
          <w:spacing w:val="-4"/>
        </w:rPr>
        <w:t>etc.</w:t>
      </w:r>
    </w:p>
    <w:p>
      <w:pPr>
        <w:pStyle w:val="ListParagraph"/>
        <w:numPr>
          <w:ilvl w:val="2"/>
          <w:numId w:val="1"/>
        </w:numPr>
        <w:tabs>
          <w:tab w:pos="1560" w:val="left" w:leader="none"/>
        </w:tabs>
        <w:spacing w:line="240" w:lineRule="auto" w:before="0" w:after="0"/>
        <w:ind w:left="1560" w:right="508" w:hanging="360"/>
        <w:jc w:val="left"/>
        <w:rPr>
          <w:rFonts w:ascii="Symbol" w:hAnsi="Symbol"/>
          <w:sz w:val="24"/>
        </w:rPr>
      </w:pPr>
      <w:r>
        <w:rPr>
          <w:sz w:val="24"/>
        </w:rPr>
        <w:t>Applied</w:t>
      </w:r>
      <w:r>
        <w:rPr>
          <w:spacing w:val="-9"/>
          <w:sz w:val="24"/>
        </w:rPr>
        <w:t> </w:t>
      </w:r>
      <w:r>
        <w:rPr>
          <w:sz w:val="24"/>
        </w:rPr>
        <w:t>work</w:t>
      </w:r>
      <w:r>
        <w:rPr>
          <w:spacing w:val="-10"/>
          <w:sz w:val="24"/>
        </w:rPr>
        <w:t> </w:t>
      </w:r>
      <w:r>
        <w:rPr>
          <w:sz w:val="24"/>
        </w:rPr>
        <w:t>by</w:t>
      </w:r>
      <w:r>
        <w:rPr>
          <w:spacing w:val="-10"/>
          <w:sz w:val="24"/>
        </w:rPr>
        <w:t> </w:t>
      </w:r>
      <w:r>
        <w:rPr>
          <w:sz w:val="24"/>
        </w:rPr>
        <w:t>faculty</w:t>
      </w:r>
      <w:r>
        <w:rPr>
          <w:spacing w:val="-12"/>
          <w:sz w:val="24"/>
        </w:rPr>
        <w:t> </w:t>
      </w:r>
      <w:r>
        <w:rPr>
          <w:sz w:val="24"/>
        </w:rPr>
        <w:t>or</w:t>
      </w:r>
      <w:r>
        <w:rPr>
          <w:spacing w:val="-9"/>
          <w:sz w:val="24"/>
        </w:rPr>
        <w:t> </w:t>
      </w:r>
      <w:r>
        <w:rPr>
          <w:sz w:val="24"/>
        </w:rPr>
        <w:t>by</w:t>
      </w:r>
      <w:r>
        <w:rPr>
          <w:spacing w:val="-10"/>
          <w:sz w:val="24"/>
        </w:rPr>
        <w:t> </w:t>
      </w:r>
      <w:r>
        <w:rPr>
          <w:sz w:val="24"/>
        </w:rPr>
        <w:t>students</w:t>
      </w:r>
      <w:r>
        <w:rPr>
          <w:spacing w:val="-9"/>
          <w:sz w:val="24"/>
        </w:rPr>
        <w:t> </w:t>
      </w:r>
      <w:r>
        <w:rPr>
          <w:sz w:val="24"/>
        </w:rPr>
        <w:t>guided</w:t>
      </w:r>
      <w:r>
        <w:rPr>
          <w:spacing w:val="-9"/>
          <w:sz w:val="24"/>
        </w:rPr>
        <w:t> </w:t>
      </w:r>
      <w:r>
        <w:rPr>
          <w:sz w:val="24"/>
        </w:rPr>
        <w:t>by</w:t>
      </w:r>
      <w:r>
        <w:rPr>
          <w:spacing w:val="-10"/>
          <w:sz w:val="24"/>
        </w:rPr>
        <w:t> </w:t>
      </w:r>
      <w:r>
        <w:rPr>
          <w:sz w:val="24"/>
        </w:rPr>
        <w:t>faculty,</w:t>
      </w:r>
      <w:r>
        <w:rPr>
          <w:spacing w:val="-9"/>
          <w:sz w:val="24"/>
        </w:rPr>
        <w:t> </w:t>
      </w:r>
      <w:r>
        <w:rPr>
          <w:sz w:val="24"/>
        </w:rPr>
        <w:t>within</w:t>
      </w:r>
      <w:r>
        <w:rPr>
          <w:spacing w:val="-10"/>
          <w:sz w:val="24"/>
        </w:rPr>
        <w:t> </w:t>
      </w:r>
      <w:r>
        <w:rPr>
          <w:sz w:val="24"/>
        </w:rPr>
        <w:t>the</w:t>
      </w:r>
      <w:r>
        <w:rPr>
          <w:spacing w:val="-9"/>
          <w:sz w:val="24"/>
        </w:rPr>
        <w:t> </w:t>
      </w:r>
      <w:r>
        <w:rPr>
          <w:sz w:val="24"/>
        </w:rPr>
        <w:t>community that advances equity and other DEI goals, e.g. clinics of various sorts for underserved populations.</w:t>
      </w:r>
    </w:p>
    <w:p>
      <w:pPr>
        <w:pStyle w:val="ListParagraph"/>
        <w:numPr>
          <w:ilvl w:val="2"/>
          <w:numId w:val="1"/>
        </w:numPr>
        <w:tabs>
          <w:tab w:pos="1560" w:val="left" w:leader="none"/>
        </w:tabs>
        <w:spacing w:line="240" w:lineRule="auto" w:before="1" w:after="0"/>
        <w:ind w:left="1560" w:right="386" w:hanging="360"/>
        <w:jc w:val="left"/>
        <w:rPr>
          <w:rFonts w:ascii="Symbol" w:hAnsi="Symbol"/>
          <w:sz w:val="24"/>
        </w:rPr>
      </w:pPr>
      <w:r>
        <w:rPr>
          <w:sz w:val="24"/>
        </w:rPr>
        <w:t>Design</w:t>
      </w:r>
      <w:r>
        <w:rPr>
          <w:spacing w:val="-14"/>
          <w:sz w:val="24"/>
        </w:rPr>
        <w:t> </w:t>
      </w:r>
      <w:r>
        <w:rPr>
          <w:sz w:val="24"/>
        </w:rPr>
        <w:t>of</w:t>
      </w:r>
      <w:r>
        <w:rPr>
          <w:spacing w:val="-13"/>
          <w:sz w:val="24"/>
        </w:rPr>
        <w:t> </w:t>
      </w:r>
      <w:r>
        <w:rPr>
          <w:sz w:val="24"/>
        </w:rPr>
        <w:t>study-abroad</w:t>
      </w:r>
      <w:r>
        <w:rPr>
          <w:spacing w:val="-12"/>
          <w:sz w:val="24"/>
        </w:rPr>
        <w:t> </w:t>
      </w:r>
      <w:r>
        <w:rPr>
          <w:sz w:val="24"/>
        </w:rPr>
        <w:t>programs</w:t>
      </w:r>
      <w:r>
        <w:rPr>
          <w:spacing w:val="-14"/>
          <w:sz w:val="24"/>
        </w:rPr>
        <w:t> </w:t>
      </w:r>
      <w:r>
        <w:rPr>
          <w:sz w:val="24"/>
        </w:rPr>
        <w:t>/</w:t>
      </w:r>
      <w:r>
        <w:rPr>
          <w:spacing w:val="-12"/>
          <w:sz w:val="24"/>
        </w:rPr>
        <w:t> </w:t>
      </w:r>
      <w:r>
        <w:rPr>
          <w:sz w:val="24"/>
        </w:rPr>
        <w:t>internationalization</w:t>
      </w:r>
      <w:r>
        <w:rPr>
          <w:spacing w:val="-14"/>
          <w:sz w:val="24"/>
        </w:rPr>
        <w:t> </w:t>
      </w:r>
      <w:r>
        <w:rPr>
          <w:sz w:val="24"/>
        </w:rPr>
        <w:t>of</w:t>
      </w:r>
      <w:r>
        <w:rPr>
          <w:spacing w:val="-12"/>
          <w:sz w:val="24"/>
        </w:rPr>
        <w:t> </w:t>
      </w:r>
      <w:r>
        <w:rPr>
          <w:sz w:val="24"/>
        </w:rPr>
        <w:t>curricula</w:t>
      </w:r>
      <w:r>
        <w:rPr>
          <w:spacing w:val="-14"/>
          <w:sz w:val="24"/>
        </w:rPr>
        <w:t> </w:t>
      </w:r>
      <w:r>
        <w:rPr>
          <w:sz w:val="24"/>
        </w:rPr>
        <w:t>that</w:t>
      </w:r>
      <w:r>
        <w:rPr>
          <w:spacing w:val="-14"/>
          <w:sz w:val="24"/>
        </w:rPr>
        <w:t> </w:t>
      </w:r>
      <w:r>
        <w:rPr>
          <w:sz w:val="24"/>
        </w:rPr>
        <w:t>enhance cultural literacy.</w:t>
      </w:r>
    </w:p>
    <w:p>
      <w:pPr>
        <w:pStyle w:val="ListParagraph"/>
        <w:numPr>
          <w:ilvl w:val="2"/>
          <w:numId w:val="1"/>
        </w:numPr>
        <w:tabs>
          <w:tab w:pos="1559" w:val="left" w:leader="none"/>
        </w:tabs>
        <w:spacing w:line="304" w:lineRule="exact" w:before="0" w:after="0"/>
        <w:ind w:left="1559" w:right="0" w:hanging="360"/>
        <w:jc w:val="left"/>
        <w:rPr>
          <w:rFonts w:ascii="Symbol" w:hAnsi="Symbol"/>
          <w:sz w:val="24"/>
        </w:rPr>
      </w:pPr>
      <w:r>
        <w:rPr>
          <w:sz w:val="24"/>
        </w:rPr>
        <w:t>Professional</w:t>
      </w:r>
      <w:r>
        <w:rPr>
          <w:spacing w:val="-16"/>
          <w:sz w:val="24"/>
        </w:rPr>
        <w:t> </w:t>
      </w:r>
      <w:r>
        <w:rPr>
          <w:sz w:val="24"/>
        </w:rPr>
        <w:t>services</w:t>
      </w:r>
      <w:r>
        <w:rPr>
          <w:spacing w:val="-14"/>
          <w:sz w:val="24"/>
        </w:rPr>
        <w:t> </w:t>
      </w:r>
      <w:r>
        <w:rPr>
          <w:sz w:val="24"/>
        </w:rPr>
        <w:t>directed</w:t>
      </w:r>
      <w:r>
        <w:rPr>
          <w:spacing w:val="-13"/>
          <w:sz w:val="24"/>
        </w:rPr>
        <w:t> </w:t>
      </w:r>
      <w:r>
        <w:rPr>
          <w:sz w:val="24"/>
        </w:rPr>
        <w:t>at</w:t>
      </w:r>
      <w:r>
        <w:rPr>
          <w:spacing w:val="-14"/>
          <w:sz w:val="24"/>
        </w:rPr>
        <w:t> </w:t>
      </w:r>
      <w:r>
        <w:rPr>
          <w:sz w:val="24"/>
        </w:rPr>
        <w:t>improvements</w:t>
      </w:r>
      <w:r>
        <w:rPr>
          <w:spacing w:val="-13"/>
          <w:sz w:val="24"/>
        </w:rPr>
        <w:t> </w:t>
      </w:r>
      <w:r>
        <w:rPr>
          <w:sz w:val="24"/>
        </w:rPr>
        <w:t>for</w:t>
      </w:r>
      <w:r>
        <w:rPr>
          <w:spacing w:val="-14"/>
          <w:sz w:val="24"/>
        </w:rPr>
        <w:t> </w:t>
      </w:r>
      <w:r>
        <w:rPr>
          <w:sz w:val="24"/>
        </w:rPr>
        <w:t>marginalized</w:t>
      </w:r>
      <w:r>
        <w:rPr>
          <w:spacing w:val="-12"/>
          <w:sz w:val="24"/>
        </w:rPr>
        <w:t> </w:t>
      </w:r>
      <w:r>
        <w:rPr>
          <w:spacing w:val="-2"/>
          <w:sz w:val="24"/>
        </w:rPr>
        <w:t>populations.</w:t>
      </w:r>
    </w:p>
    <w:p>
      <w:pPr>
        <w:pStyle w:val="ListParagraph"/>
        <w:numPr>
          <w:ilvl w:val="2"/>
          <w:numId w:val="1"/>
        </w:numPr>
        <w:tabs>
          <w:tab w:pos="1559" w:val="left" w:leader="none"/>
        </w:tabs>
        <w:spacing w:line="305" w:lineRule="exact" w:before="0" w:after="0"/>
        <w:ind w:left="1559" w:right="0" w:hanging="360"/>
        <w:jc w:val="left"/>
        <w:rPr>
          <w:rFonts w:ascii="Symbol" w:hAnsi="Symbol"/>
          <w:sz w:val="24"/>
        </w:rPr>
      </w:pPr>
      <w:r>
        <w:rPr>
          <w:sz w:val="24"/>
        </w:rPr>
        <w:t>Community</w:t>
      </w:r>
      <w:r>
        <w:rPr>
          <w:spacing w:val="-16"/>
          <w:sz w:val="24"/>
        </w:rPr>
        <w:t> </w:t>
      </w:r>
      <w:r>
        <w:rPr>
          <w:sz w:val="24"/>
        </w:rPr>
        <w:t>engagement</w:t>
      </w:r>
      <w:r>
        <w:rPr>
          <w:spacing w:val="-14"/>
          <w:sz w:val="24"/>
        </w:rPr>
        <w:t> </w:t>
      </w:r>
      <w:r>
        <w:rPr>
          <w:sz w:val="24"/>
        </w:rPr>
        <w:t>in</w:t>
      </w:r>
      <w:r>
        <w:rPr>
          <w:spacing w:val="-13"/>
          <w:sz w:val="24"/>
        </w:rPr>
        <w:t> </w:t>
      </w:r>
      <w:r>
        <w:rPr>
          <w:sz w:val="24"/>
        </w:rPr>
        <w:t>partnership</w:t>
      </w:r>
      <w:r>
        <w:rPr>
          <w:spacing w:val="-11"/>
          <w:sz w:val="24"/>
        </w:rPr>
        <w:t> </w:t>
      </w:r>
      <w:r>
        <w:rPr>
          <w:sz w:val="24"/>
        </w:rPr>
        <w:t>with</w:t>
      </w:r>
      <w:r>
        <w:rPr>
          <w:spacing w:val="-11"/>
          <w:sz w:val="24"/>
        </w:rPr>
        <w:t> </w:t>
      </w:r>
      <w:r>
        <w:rPr>
          <w:sz w:val="24"/>
        </w:rPr>
        <w:t>diverse</w:t>
      </w:r>
      <w:r>
        <w:rPr>
          <w:spacing w:val="-11"/>
          <w:sz w:val="24"/>
        </w:rPr>
        <w:t> </w:t>
      </w:r>
      <w:r>
        <w:rPr>
          <w:sz w:val="24"/>
        </w:rPr>
        <w:t>and</w:t>
      </w:r>
      <w:r>
        <w:rPr>
          <w:spacing w:val="-11"/>
          <w:sz w:val="24"/>
        </w:rPr>
        <w:t> </w:t>
      </w:r>
      <w:r>
        <w:rPr>
          <w:sz w:val="24"/>
        </w:rPr>
        <w:t>marginalized</w:t>
      </w:r>
      <w:r>
        <w:rPr>
          <w:spacing w:val="-11"/>
          <w:sz w:val="24"/>
        </w:rPr>
        <w:t> </w:t>
      </w:r>
      <w:r>
        <w:rPr>
          <w:spacing w:val="-2"/>
          <w:sz w:val="24"/>
        </w:rPr>
        <w:t>groups.</w:t>
      </w:r>
    </w:p>
    <w:p>
      <w:pPr>
        <w:pStyle w:val="ListParagraph"/>
        <w:numPr>
          <w:ilvl w:val="2"/>
          <w:numId w:val="1"/>
        </w:numPr>
        <w:tabs>
          <w:tab w:pos="1560" w:val="left" w:leader="none"/>
        </w:tabs>
        <w:spacing w:line="240" w:lineRule="auto" w:before="1" w:after="0"/>
        <w:ind w:left="1560" w:right="1128" w:hanging="360"/>
        <w:jc w:val="left"/>
        <w:rPr>
          <w:rFonts w:ascii="Symbol" w:hAnsi="Symbol"/>
          <w:sz w:val="24"/>
        </w:rPr>
      </w:pPr>
      <w:r>
        <w:rPr>
          <w:sz w:val="24"/>
        </w:rPr>
        <w:t>Publicly</w:t>
      </w:r>
      <w:r>
        <w:rPr>
          <w:spacing w:val="-14"/>
          <w:sz w:val="24"/>
        </w:rPr>
        <w:t> </w:t>
      </w:r>
      <w:r>
        <w:rPr>
          <w:sz w:val="24"/>
        </w:rPr>
        <w:t>or</w:t>
      </w:r>
      <w:r>
        <w:rPr>
          <w:spacing w:val="-14"/>
          <w:sz w:val="24"/>
        </w:rPr>
        <w:t> </w:t>
      </w:r>
      <w:r>
        <w:rPr>
          <w:sz w:val="24"/>
        </w:rPr>
        <w:t>community-engaged</w:t>
      </w:r>
      <w:r>
        <w:rPr>
          <w:spacing w:val="-13"/>
          <w:sz w:val="24"/>
        </w:rPr>
        <w:t> </w:t>
      </w:r>
      <w:r>
        <w:rPr>
          <w:sz w:val="24"/>
        </w:rPr>
        <w:t>scholarship</w:t>
      </w:r>
      <w:r>
        <w:rPr>
          <w:spacing w:val="-14"/>
          <w:sz w:val="24"/>
        </w:rPr>
        <w:t> </w:t>
      </w:r>
      <w:r>
        <w:rPr>
          <w:sz w:val="24"/>
        </w:rPr>
        <w:t>with</w:t>
      </w:r>
      <w:r>
        <w:rPr>
          <w:spacing w:val="-13"/>
          <w:sz w:val="24"/>
        </w:rPr>
        <w:t> </w:t>
      </w:r>
      <w:r>
        <w:rPr>
          <w:sz w:val="24"/>
        </w:rPr>
        <w:t>diverse,</w:t>
      </w:r>
      <w:r>
        <w:rPr>
          <w:spacing w:val="-14"/>
          <w:sz w:val="24"/>
        </w:rPr>
        <w:t> </w:t>
      </w:r>
      <w:r>
        <w:rPr>
          <w:sz w:val="24"/>
        </w:rPr>
        <w:t>marginalized</w:t>
      </w:r>
      <w:r>
        <w:rPr>
          <w:spacing w:val="-13"/>
          <w:sz w:val="24"/>
        </w:rPr>
        <w:t> </w:t>
      </w:r>
      <w:r>
        <w:rPr>
          <w:sz w:val="24"/>
        </w:rPr>
        <w:t>or underrepresented groups and issues.</w:t>
      </w:r>
    </w:p>
    <w:p>
      <w:pPr>
        <w:pStyle w:val="ListParagraph"/>
        <w:numPr>
          <w:ilvl w:val="2"/>
          <w:numId w:val="1"/>
        </w:numPr>
        <w:tabs>
          <w:tab w:pos="1560" w:val="left" w:leader="none"/>
        </w:tabs>
        <w:spacing w:line="242" w:lineRule="auto" w:before="0" w:after="0"/>
        <w:ind w:left="1560" w:right="127" w:hanging="360"/>
        <w:jc w:val="left"/>
        <w:rPr>
          <w:rFonts w:ascii="Symbol" w:hAnsi="Symbol"/>
          <w:sz w:val="24"/>
        </w:rPr>
      </w:pPr>
      <w:r>
        <w:rPr>
          <w:sz w:val="24"/>
        </w:rPr>
        <w:t>Significant</w:t>
      </w:r>
      <w:r>
        <w:rPr>
          <w:spacing w:val="-11"/>
          <w:sz w:val="24"/>
        </w:rPr>
        <w:t> </w:t>
      </w:r>
      <w:r>
        <w:rPr>
          <w:sz w:val="24"/>
        </w:rPr>
        <w:t>unit</w:t>
      </w:r>
      <w:r>
        <w:rPr>
          <w:spacing w:val="-10"/>
          <w:sz w:val="24"/>
        </w:rPr>
        <w:t> </w:t>
      </w:r>
      <w:r>
        <w:rPr>
          <w:sz w:val="24"/>
        </w:rPr>
        <w:t>service</w:t>
      </w:r>
      <w:r>
        <w:rPr>
          <w:spacing w:val="-12"/>
          <w:sz w:val="24"/>
        </w:rPr>
        <w:t> </w:t>
      </w:r>
      <w:r>
        <w:rPr>
          <w:sz w:val="24"/>
        </w:rPr>
        <w:t>work</w:t>
      </w:r>
      <w:r>
        <w:rPr>
          <w:spacing w:val="-13"/>
          <w:sz w:val="24"/>
        </w:rPr>
        <w:t> </w:t>
      </w:r>
      <w:r>
        <w:rPr>
          <w:sz w:val="24"/>
        </w:rPr>
        <w:t>related</w:t>
      </w:r>
      <w:r>
        <w:rPr>
          <w:spacing w:val="-10"/>
          <w:sz w:val="24"/>
        </w:rPr>
        <w:t> </w:t>
      </w:r>
      <w:r>
        <w:rPr>
          <w:sz w:val="24"/>
        </w:rPr>
        <w:t>to</w:t>
      </w:r>
      <w:r>
        <w:rPr>
          <w:spacing w:val="-12"/>
          <w:sz w:val="24"/>
        </w:rPr>
        <w:t> </w:t>
      </w:r>
      <w:r>
        <w:rPr>
          <w:sz w:val="24"/>
        </w:rPr>
        <w:t>DEI</w:t>
      </w:r>
      <w:r>
        <w:rPr>
          <w:spacing w:val="-11"/>
          <w:sz w:val="24"/>
        </w:rPr>
        <w:t> </w:t>
      </w:r>
      <w:r>
        <w:rPr>
          <w:sz w:val="24"/>
        </w:rPr>
        <w:t>e.g.</w:t>
      </w:r>
      <w:r>
        <w:rPr>
          <w:spacing w:val="-11"/>
          <w:sz w:val="24"/>
        </w:rPr>
        <w:t> </w:t>
      </w:r>
      <w:r>
        <w:rPr>
          <w:sz w:val="24"/>
        </w:rPr>
        <w:t>chairing</w:t>
      </w:r>
      <w:r>
        <w:rPr>
          <w:spacing w:val="-11"/>
          <w:sz w:val="24"/>
        </w:rPr>
        <w:t> </w:t>
      </w:r>
      <w:r>
        <w:rPr>
          <w:sz w:val="24"/>
        </w:rPr>
        <w:t>committees</w:t>
      </w:r>
      <w:r>
        <w:rPr>
          <w:spacing w:val="-11"/>
          <w:sz w:val="24"/>
        </w:rPr>
        <w:t> </w:t>
      </w:r>
      <w:r>
        <w:rPr>
          <w:sz w:val="24"/>
        </w:rPr>
        <w:t>and</w:t>
      </w:r>
      <w:r>
        <w:rPr>
          <w:spacing w:val="-11"/>
          <w:sz w:val="24"/>
        </w:rPr>
        <w:t> </w:t>
      </w:r>
      <w:r>
        <w:rPr>
          <w:sz w:val="24"/>
        </w:rPr>
        <w:t>developing or providing DEI programming.</w:t>
      </w:r>
    </w:p>
    <w:p>
      <w:pPr>
        <w:pStyle w:val="ListParagraph"/>
        <w:numPr>
          <w:ilvl w:val="2"/>
          <w:numId w:val="1"/>
        </w:numPr>
        <w:tabs>
          <w:tab w:pos="1559" w:val="left" w:leader="none"/>
        </w:tabs>
        <w:spacing w:line="301" w:lineRule="exact" w:before="0" w:after="0"/>
        <w:ind w:left="1559" w:right="0" w:hanging="359"/>
        <w:jc w:val="left"/>
        <w:rPr>
          <w:rFonts w:ascii="Symbol" w:hAnsi="Symbol"/>
          <w:sz w:val="24"/>
        </w:rPr>
      </w:pPr>
      <w:r>
        <w:rPr>
          <w:sz w:val="24"/>
        </w:rPr>
        <w:t>National</w:t>
      </w:r>
      <w:r>
        <w:rPr>
          <w:spacing w:val="-12"/>
          <w:sz w:val="24"/>
        </w:rPr>
        <w:t> </w:t>
      </w:r>
      <w:r>
        <w:rPr>
          <w:sz w:val="24"/>
        </w:rPr>
        <w:t>service</w:t>
      </w:r>
      <w:r>
        <w:rPr>
          <w:spacing w:val="-9"/>
          <w:sz w:val="24"/>
        </w:rPr>
        <w:t> </w:t>
      </w:r>
      <w:r>
        <w:rPr>
          <w:sz w:val="24"/>
        </w:rPr>
        <w:t>related</w:t>
      </w:r>
      <w:r>
        <w:rPr>
          <w:spacing w:val="-9"/>
          <w:sz w:val="24"/>
        </w:rPr>
        <w:t> </w:t>
      </w:r>
      <w:r>
        <w:rPr>
          <w:sz w:val="24"/>
        </w:rPr>
        <w:t>to</w:t>
      </w:r>
      <w:r>
        <w:rPr>
          <w:spacing w:val="-9"/>
          <w:sz w:val="24"/>
        </w:rPr>
        <w:t> </w:t>
      </w:r>
      <w:r>
        <w:rPr>
          <w:spacing w:val="-5"/>
          <w:sz w:val="24"/>
        </w:rPr>
        <w:t>DEI</w:t>
      </w:r>
    </w:p>
    <w:p>
      <w:pPr>
        <w:pStyle w:val="ListParagraph"/>
        <w:numPr>
          <w:ilvl w:val="2"/>
          <w:numId w:val="1"/>
        </w:numPr>
        <w:tabs>
          <w:tab w:pos="1559" w:val="left" w:leader="none"/>
        </w:tabs>
        <w:spacing w:line="305" w:lineRule="exact" w:before="0" w:after="0"/>
        <w:ind w:left="1559" w:right="0" w:hanging="359"/>
        <w:jc w:val="left"/>
        <w:rPr>
          <w:rFonts w:ascii="Symbol" w:hAnsi="Symbol"/>
          <w:sz w:val="24"/>
        </w:rPr>
      </w:pPr>
      <w:r>
        <w:rPr>
          <w:sz w:val="24"/>
        </w:rPr>
        <w:t>Policy</w:t>
      </w:r>
      <w:r>
        <w:rPr>
          <w:spacing w:val="-8"/>
          <w:sz w:val="24"/>
        </w:rPr>
        <w:t> </w:t>
      </w:r>
      <w:r>
        <w:rPr>
          <w:sz w:val="24"/>
        </w:rPr>
        <w:t>work</w:t>
      </w:r>
      <w:r>
        <w:rPr>
          <w:spacing w:val="-8"/>
          <w:sz w:val="24"/>
        </w:rPr>
        <w:t> </w:t>
      </w:r>
      <w:r>
        <w:rPr>
          <w:sz w:val="24"/>
        </w:rPr>
        <w:t>related</w:t>
      </w:r>
      <w:r>
        <w:rPr>
          <w:spacing w:val="-8"/>
          <w:sz w:val="24"/>
        </w:rPr>
        <w:t> </w:t>
      </w:r>
      <w:r>
        <w:rPr>
          <w:sz w:val="24"/>
        </w:rPr>
        <w:t>to</w:t>
      </w:r>
      <w:r>
        <w:rPr>
          <w:spacing w:val="-8"/>
          <w:sz w:val="24"/>
        </w:rPr>
        <w:t> </w:t>
      </w:r>
      <w:r>
        <w:rPr>
          <w:spacing w:val="-5"/>
          <w:sz w:val="24"/>
        </w:rPr>
        <w:t>DEI</w:t>
      </w:r>
    </w:p>
    <w:p>
      <w:pPr>
        <w:pStyle w:val="BodyText"/>
        <w:spacing w:before="1"/>
      </w:pPr>
    </w:p>
    <w:p>
      <w:pPr>
        <w:pStyle w:val="BodyText"/>
        <w:ind w:left="480" w:right="182"/>
      </w:pPr>
      <w:r>
        <w:rPr>
          <w:b/>
        </w:rPr>
        <w:t>For</w:t>
      </w:r>
      <w:r>
        <w:rPr>
          <w:b/>
          <w:spacing w:val="-5"/>
        </w:rPr>
        <w:t> </w:t>
      </w:r>
      <w:r>
        <w:rPr>
          <w:b/>
        </w:rPr>
        <w:t>the</w:t>
      </w:r>
      <w:r>
        <w:rPr>
          <w:b/>
          <w:spacing w:val="-4"/>
        </w:rPr>
        <w:t> </w:t>
      </w:r>
      <w:r>
        <w:rPr>
          <w:b/>
        </w:rPr>
        <w:t>Integrated</w:t>
      </w:r>
      <w:r>
        <w:rPr>
          <w:b/>
          <w:spacing w:val="-3"/>
        </w:rPr>
        <w:t> </w:t>
      </w:r>
      <w:r>
        <w:rPr>
          <w:b/>
        </w:rPr>
        <w:t>Thematic</w:t>
      </w:r>
      <w:r>
        <w:rPr>
          <w:b/>
          <w:spacing w:val="-4"/>
        </w:rPr>
        <w:t> </w:t>
      </w:r>
      <w:r>
        <w:rPr>
          <w:b/>
        </w:rPr>
        <w:t>Case</w:t>
      </w:r>
      <w:r>
        <w:rPr>
          <w:b/>
          <w:spacing w:val="-9"/>
        </w:rPr>
        <w:t> </w:t>
      </w:r>
      <w:r>
        <w:rPr/>
        <w:t>the</w:t>
      </w:r>
      <w:r>
        <w:rPr>
          <w:spacing w:val="-5"/>
        </w:rPr>
        <w:t> </w:t>
      </w:r>
      <w:r>
        <w:rPr/>
        <w:t>signature</w:t>
      </w:r>
      <w:r>
        <w:rPr>
          <w:spacing w:val="-5"/>
        </w:rPr>
        <w:t> </w:t>
      </w:r>
      <w:r>
        <w:rPr/>
        <w:t>activities</w:t>
      </w:r>
      <w:r>
        <w:rPr>
          <w:spacing w:val="-6"/>
        </w:rPr>
        <w:t> </w:t>
      </w:r>
      <w:r>
        <w:rPr/>
        <w:t>should</w:t>
      </w:r>
      <w:r>
        <w:rPr>
          <w:spacing w:val="-7"/>
        </w:rPr>
        <w:t> </w:t>
      </w:r>
      <w:r>
        <w:rPr/>
        <w:t>advance</w:t>
      </w:r>
      <w:r>
        <w:rPr>
          <w:spacing w:val="-8"/>
        </w:rPr>
        <w:t> </w:t>
      </w:r>
      <w:r>
        <w:rPr/>
        <w:t>a</w:t>
      </w:r>
      <w:r>
        <w:rPr>
          <w:spacing w:val="-6"/>
        </w:rPr>
        <w:t> </w:t>
      </w:r>
      <w:r>
        <w:rPr/>
        <w:t>particular</w:t>
      </w:r>
      <w:r>
        <w:rPr>
          <w:spacing w:val="-6"/>
        </w:rPr>
        <w:t> </w:t>
      </w:r>
      <w:r>
        <w:rPr/>
        <w:t>aspect of</w:t>
      </w:r>
      <w:r>
        <w:rPr>
          <w:spacing w:val="-8"/>
        </w:rPr>
        <w:t> </w:t>
      </w:r>
      <w:r>
        <w:rPr/>
        <w:t>the</w:t>
      </w:r>
      <w:r>
        <w:rPr>
          <w:spacing w:val="-8"/>
        </w:rPr>
        <w:t> </w:t>
      </w:r>
      <w:r>
        <w:rPr/>
        <w:t>Kelley</w:t>
      </w:r>
      <w:r>
        <w:rPr>
          <w:spacing w:val="-11"/>
        </w:rPr>
        <w:t> </w:t>
      </w:r>
      <w:r>
        <w:rPr/>
        <w:t>School</w:t>
      </w:r>
      <w:r>
        <w:rPr>
          <w:spacing w:val="-8"/>
        </w:rPr>
        <w:t> </w:t>
      </w:r>
      <w:r>
        <w:rPr/>
        <w:t>Mission</w:t>
      </w:r>
      <w:r>
        <w:rPr>
          <w:spacing w:val="-8"/>
        </w:rPr>
        <w:t> </w:t>
      </w:r>
      <w:r>
        <w:rPr/>
        <w:t>that</w:t>
      </w:r>
      <w:r>
        <w:rPr>
          <w:spacing w:val="-8"/>
        </w:rPr>
        <w:t> </w:t>
      </w:r>
      <w:r>
        <w:rPr/>
        <w:t>enhances</w:t>
      </w:r>
      <w:r>
        <w:rPr>
          <w:spacing w:val="-11"/>
        </w:rPr>
        <w:t> </w:t>
      </w:r>
      <w:r>
        <w:rPr/>
        <w:t>the</w:t>
      </w:r>
      <w:r>
        <w:rPr>
          <w:spacing w:val="-8"/>
        </w:rPr>
        <w:t> </w:t>
      </w:r>
      <w:r>
        <w:rPr/>
        <w:t>reputation</w:t>
      </w:r>
      <w:r>
        <w:rPr>
          <w:spacing w:val="-9"/>
        </w:rPr>
        <w:t> </w:t>
      </w:r>
      <w:r>
        <w:rPr/>
        <w:t>of</w:t>
      </w:r>
      <w:r>
        <w:rPr>
          <w:spacing w:val="-8"/>
        </w:rPr>
        <w:t> </w:t>
      </w:r>
      <w:r>
        <w:rPr/>
        <w:t>both</w:t>
      </w:r>
      <w:r>
        <w:rPr>
          <w:spacing w:val="-8"/>
        </w:rPr>
        <w:t> </w:t>
      </w:r>
      <w:r>
        <w:rPr/>
        <w:t>IUPUI</w:t>
      </w:r>
      <w:r>
        <w:rPr>
          <w:spacing w:val="-11"/>
        </w:rPr>
        <w:t> </w:t>
      </w:r>
      <w:r>
        <w:rPr/>
        <w:t>and</w:t>
      </w:r>
      <w:r>
        <w:rPr>
          <w:spacing w:val="-8"/>
        </w:rPr>
        <w:t> </w:t>
      </w:r>
      <w:r>
        <w:rPr/>
        <w:t>Kelley,</w:t>
      </w:r>
      <w:r>
        <w:rPr>
          <w:spacing w:val="-10"/>
        </w:rPr>
        <w:t> </w:t>
      </w:r>
      <w:r>
        <w:rPr/>
        <w:t>but</w:t>
      </w:r>
      <w:r>
        <w:rPr>
          <w:spacing w:val="-9"/>
        </w:rPr>
        <w:t> </w:t>
      </w:r>
      <w:r>
        <w:rPr/>
        <w:t>need not be classified or be based within traditional teaching categories. Activity categories exemplified in the DEI Integrated Case provide a guideline for the candidate in organizing their case.</w:t>
      </w:r>
      <w:r>
        <w:rPr>
          <w:spacing w:val="-1"/>
        </w:rPr>
        <w:t> </w:t>
      </w:r>
      <w:r>
        <w:rPr/>
        <w:t>The category should be clearly articulated and discussed with the candidate’s department chair or equivalent supervisor.</w:t>
      </w:r>
    </w:p>
    <w:p>
      <w:pPr>
        <w:pStyle w:val="Heading1"/>
        <w:spacing w:before="292"/>
        <w:ind w:left="479" w:right="118"/>
      </w:pPr>
      <w:r>
        <w:rPr/>
        <w:t>The</w:t>
      </w:r>
      <w:r>
        <w:rPr>
          <w:spacing w:val="-11"/>
        </w:rPr>
        <w:t> </w:t>
      </w:r>
      <w:r>
        <w:rPr/>
        <w:t>remaining</w:t>
      </w:r>
      <w:r>
        <w:rPr>
          <w:spacing w:val="-11"/>
        </w:rPr>
        <w:t> </w:t>
      </w:r>
      <w:r>
        <w:rPr/>
        <w:t>portion</w:t>
      </w:r>
      <w:r>
        <w:rPr>
          <w:spacing w:val="-10"/>
        </w:rPr>
        <w:t> </w:t>
      </w:r>
      <w:r>
        <w:rPr/>
        <w:t>applies</w:t>
      </w:r>
      <w:r>
        <w:rPr>
          <w:spacing w:val="-10"/>
        </w:rPr>
        <w:t> </w:t>
      </w:r>
      <w:r>
        <w:rPr/>
        <w:t>to</w:t>
      </w:r>
      <w:r>
        <w:rPr>
          <w:spacing w:val="-12"/>
        </w:rPr>
        <w:t> </w:t>
      </w:r>
      <w:r>
        <w:rPr/>
        <w:t>both</w:t>
      </w:r>
      <w:r>
        <w:rPr>
          <w:spacing w:val="-10"/>
        </w:rPr>
        <w:t> </w:t>
      </w:r>
      <w:r>
        <w:rPr/>
        <w:t>the</w:t>
      </w:r>
      <w:r>
        <w:rPr>
          <w:spacing w:val="-11"/>
        </w:rPr>
        <w:t> </w:t>
      </w:r>
      <w:r>
        <w:rPr/>
        <w:t>Integrated</w:t>
      </w:r>
      <w:r>
        <w:rPr>
          <w:spacing w:val="-8"/>
        </w:rPr>
        <w:t> </w:t>
      </w:r>
      <w:r>
        <w:rPr/>
        <w:t>Diversity,</w:t>
      </w:r>
      <w:r>
        <w:rPr>
          <w:spacing w:val="-10"/>
        </w:rPr>
        <w:t> </w:t>
      </w:r>
      <w:r>
        <w:rPr/>
        <w:t>Equity,</w:t>
      </w:r>
      <w:r>
        <w:rPr>
          <w:spacing w:val="-10"/>
        </w:rPr>
        <w:t> </w:t>
      </w:r>
      <w:r>
        <w:rPr/>
        <w:t>and</w:t>
      </w:r>
      <w:r>
        <w:rPr>
          <w:spacing w:val="-10"/>
        </w:rPr>
        <w:t> </w:t>
      </w:r>
      <w:r>
        <w:rPr/>
        <w:t>Inclusion</w:t>
      </w:r>
      <w:r>
        <w:rPr>
          <w:spacing w:val="-10"/>
        </w:rPr>
        <w:t> </w:t>
      </w:r>
      <w:r>
        <w:rPr/>
        <w:t>(DEI) Case and Integrated Thematic Case.</w:t>
      </w:r>
    </w:p>
    <w:p>
      <w:pPr>
        <w:spacing w:before="292"/>
        <w:ind w:left="480" w:right="0" w:firstLine="0"/>
        <w:jc w:val="left"/>
        <w:rPr>
          <w:b/>
          <w:sz w:val="23"/>
        </w:rPr>
      </w:pPr>
      <w:r>
        <w:rPr>
          <w:b/>
          <w:sz w:val="23"/>
        </w:rPr>
        <w:t>A</w:t>
      </w:r>
      <w:r>
        <w:rPr>
          <w:b/>
          <w:spacing w:val="-2"/>
          <w:sz w:val="23"/>
        </w:rPr>
        <w:t> </w:t>
      </w:r>
      <w:r>
        <w:rPr>
          <w:b/>
          <w:sz w:val="23"/>
        </w:rPr>
        <w:t>rating</w:t>
      </w:r>
      <w:r>
        <w:rPr>
          <w:b/>
          <w:spacing w:val="-2"/>
          <w:sz w:val="23"/>
        </w:rPr>
        <w:t> </w:t>
      </w:r>
      <w:r>
        <w:rPr>
          <w:b/>
          <w:sz w:val="23"/>
        </w:rPr>
        <w:t>of</w:t>
      </w:r>
      <w:r>
        <w:rPr>
          <w:b/>
          <w:spacing w:val="-2"/>
          <w:sz w:val="23"/>
        </w:rPr>
        <w:t> </w:t>
      </w:r>
      <w:r>
        <w:rPr>
          <w:b/>
          <w:sz w:val="23"/>
        </w:rPr>
        <w:t>Excellent</w:t>
      </w:r>
      <w:r>
        <w:rPr>
          <w:b/>
          <w:spacing w:val="-4"/>
          <w:sz w:val="23"/>
        </w:rPr>
        <w:t> </w:t>
      </w:r>
      <w:r>
        <w:rPr>
          <w:b/>
          <w:sz w:val="23"/>
        </w:rPr>
        <w:t>is</w:t>
      </w:r>
      <w:r>
        <w:rPr>
          <w:b/>
          <w:spacing w:val="-1"/>
          <w:sz w:val="23"/>
        </w:rPr>
        <w:t> </w:t>
      </w:r>
      <w:r>
        <w:rPr>
          <w:b/>
          <w:sz w:val="23"/>
        </w:rPr>
        <w:t>based on</w:t>
      </w:r>
      <w:r>
        <w:rPr>
          <w:b/>
          <w:spacing w:val="-2"/>
          <w:sz w:val="23"/>
        </w:rPr>
        <w:t> </w:t>
      </w:r>
      <w:r>
        <w:rPr>
          <w:b/>
          <w:sz w:val="23"/>
        </w:rPr>
        <w:t>the</w:t>
      </w:r>
      <w:r>
        <w:rPr>
          <w:b/>
          <w:spacing w:val="-2"/>
          <w:sz w:val="23"/>
        </w:rPr>
        <w:t> following</w:t>
      </w:r>
    </w:p>
    <w:p>
      <w:pPr>
        <w:pStyle w:val="BodyText"/>
        <w:rPr>
          <w:b/>
          <w:sz w:val="23"/>
        </w:rPr>
      </w:pPr>
    </w:p>
    <w:p>
      <w:pPr>
        <w:pStyle w:val="BodyText"/>
        <w:spacing w:before="1"/>
        <w:ind w:left="479" w:right="330"/>
      </w:pPr>
      <w:r>
        <w:rPr/>
        <w:t>The candidate has carried an appropriate teaching load as noted above (number of courses/sections</w:t>
      </w:r>
      <w:r>
        <w:rPr>
          <w:spacing w:val="-6"/>
        </w:rPr>
        <w:t> </w:t>
      </w:r>
      <w:r>
        <w:rPr/>
        <w:t>taught,</w:t>
      </w:r>
      <w:r>
        <w:rPr>
          <w:spacing w:val="-8"/>
        </w:rPr>
        <w:t> </w:t>
      </w:r>
      <w:r>
        <w:rPr/>
        <w:t>course</w:t>
      </w:r>
      <w:r>
        <w:rPr>
          <w:spacing w:val="-5"/>
        </w:rPr>
        <w:t> </w:t>
      </w:r>
      <w:r>
        <w:rPr/>
        <w:t>sizes,</w:t>
      </w:r>
      <w:r>
        <w:rPr>
          <w:spacing w:val="-6"/>
        </w:rPr>
        <w:t> </w:t>
      </w:r>
      <w:r>
        <w:rPr/>
        <w:t>and</w:t>
      </w:r>
      <w:r>
        <w:rPr>
          <w:spacing w:val="-7"/>
        </w:rPr>
        <w:t> </w:t>
      </w:r>
      <w:r>
        <w:rPr/>
        <w:t>willingness</w:t>
      </w:r>
      <w:r>
        <w:rPr>
          <w:spacing w:val="-9"/>
        </w:rPr>
        <w:t> </w:t>
      </w:r>
      <w:r>
        <w:rPr/>
        <w:t>to</w:t>
      </w:r>
      <w:r>
        <w:rPr>
          <w:spacing w:val="-5"/>
        </w:rPr>
        <w:t> </w:t>
      </w:r>
      <w:r>
        <w:rPr/>
        <w:t>teach</w:t>
      </w:r>
      <w:r>
        <w:rPr>
          <w:spacing w:val="-5"/>
        </w:rPr>
        <w:t> </w:t>
      </w:r>
      <w:r>
        <w:rPr/>
        <w:t>new</w:t>
      </w:r>
      <w:r>
        <w:rPr>
          <w:spacing w:val="-5"/>
        </w:rPr>
        <w:t> </w:t>
      </w:r>
      <w:r>
        <w:rPr/>
        <w:t>courses,</w:t>
      </w:r>
      <w:r>
        <w:rPr>
          <w:spacing w:val="-6"/>
        </w:rPr>
        <w:t> </w:t>
      </w:r>
      <w:r>
        <w:rPr/>
        <w:t>as</w:t>
      </w:r>
      <w:r>
        <w:rPr>
          <w:spacing w:val="-9"/>
        </w:rPr>
        <w:t> </w:t>
      </w:r>
      <w:r>
        <w:rPr/>
        <w:t>needed)</w:t>
      </w:r>
      <w:r>
        <w:rPr>
          <w:spacing w:val="-7"/>
        </w:rPr>
        <w:t> </w:t>
      </w:r>
      <w:r>
        <w:rPr/>
        <w:t>and teaching contributions support the School’s teaching mission, values and goals. The results obtained from student evaluation instruments (the numerically scored questions as</w:t>
      </w:r>
      <w:r>
        <w:rPr>
          <w:spacing w:val="-2"/>
        </w:rPr>
        <w:t> </w:t>
      </w:r>
      <w:r>
        <w:rPr/>
        <w:t>well</w:t>
      </w:r>
      <w:r>
        <w:rPr>
          <w:spacing w:val="-1"/>
        </w:rPr>
        <w:t> </w:t>
      </w:r>
      <w:r>
        <w:rPr/>
        <w:t>as the</w:t>
      </w:r>
      <w:r>
        <w:rPr>
          <w:spacing w:val="-6"/>
        </w:rPr>
        <w:t> </w:t>
      </w:r>
      <w:r>
        <w:rPr/>
        <w:t>open-ended</w:t>
      </w:r>
      <w:r>
        <w:rPr>
          <w:spacing w:val="-6"/>
        </w:rPr>
        <w:t> </w:t>
      </w:r>
      <w:r>
        <w:rPr/>
        <w:t>questions</w:t>
      </w:r>
      <w:r>
        <w:rPr>
          <w:spacing w:val="-3"/>
        </w:rPr>
        <w:t> </w:t>
      </w:r>
      <w:r>
        <w:rPr/>
        <w:t>calling</w:t>
      </w:r>
      <w:r>
        <w:rPr>
          <w:spacing w:val="-7"/>
        </w:rPr>
        <w:t> </w:t>
      </w:r>
      <w:r>
        <w:rPr/>
        <w:t>for</w:t>
      </w:r>
      <w:r>
        <w:rPr>
          <w:spacing w:val="-6"/>
        </w:rPr>
        <w:t> </w:t>
      </w:r>
      <w:r>
        <w:rPr/>
        <w:t>narrative</w:t>
      </w:r>
      <w:r>
        <w:rPr>
          <w:spacing w:val="-6"/>
        </w:rPr>
        <w:t> </w:t>
      </w:r>
      <w:r>
        <w:rPr/>
        <w:t>responses)</w:t>
      </w:r>
      <w:r>
        <w:rPr>
          <w:spacing w:val="-6"/>
        </w:rPr>
        <w:t> </w:t>
      </w:r>
      <w:r>
        <w:rPr/>
        <w:t>suggest</w:t>
      </w:r>
      <w:r>
        <w:rPr>
          <w:spacing w:val="-6"/>
        </w:rPr>
        <w:t> </w:t>
      </w:r>
      <w:r>
        <w:rPr/>
        <w:t>that</w:t>
      </w:r>
      <w:r>
        <w:rPr>
          <w:spacing w:val="-6"/>
        </w:rPr>
        <w:t> </w:t>
      </w:r>
      <w:r>
        <w:rPr/>
        <w:t>the</w:t>
      </w:r>
      <w:r>
        <w:rPr>
          <w:spacing w:val="-4"/>
        </w:rPr>
        <w:t> </w:t>
      </w:r>
      <w:r>
        <w:rPr/>
        <w:t>candidate</w:t>
      </w:r>
      <w:r>
        <w:rPr>
          <w:spacing w:val="-6"/>
        </w:rPr>
        <w:t> </w:t>
      </w:r>
      <w:r>
        <w:rPr/>
        <w:t>fulfills his or teaching responsibilities well. Unsolicited student letters express, or other similar indications suggest, that students hold a favorable view of the candidate’s teaching. Peer evaluations by</w:t>
      </w:r>
      <w:r>
        <w:rPr>
          <w:spacing w:val="-1"/>
        </w:rPr>
        <w:t> </w:t>
      </w:r>
      <w:r>
        <w:rPr/>
        <w:t>faculty colleagues also view the candidate’s</w:t>
      </w:r>
      <w:r>
        <w:rPr>
          <w:spacing w:val="-1"/>
        </w:rPr>
        <w:t> </w:t>
      </w:r>
      <w:r>
        <w:rPr/>
        <w:t>teaching favorably and provide evidence that the candidate incorporates Integrated practices or activities into the classroom.</w:t>
      </w:r>
      <w:r>
        <w:rPr>
          <w:spacing w:val="-14"/>
        </w:rPr>
        <w:t> </w:t>
      </w:r>
      <w:r>
        <w:rPr/>
        <w:t>The</w:t>
      </w:r>
      <w:r>
        <w:rPr>
          <w:spacing w:val="-13"/>
        </w:rPr>
        <w:t> </w:t>
      </w:r>
      <w:r>
        <w:rPr/>
        <w:t>candidate</w:t>
      </w:r>
      <w:r>
        <w:rPr>
          <w:spacing w:val="-11"/>
        </w:rPr>
        <w:t> </w:t>
      </w:r>
      <w:r>
        <w:rPr/>
        <w:t>has</w:t>
      </w:r>
      <w:r>
        <w:rPr>
          <w:spacing w:val="-12"/>
        </w:rPr>
        <w:t> </w:t>
      </w:r>
      <w:r>
        <w:rPr/>
        <w:t>made</w:t>
      </w:r>
      <w:r>
        <w:rPr>
          <w:spacing w:val="-10"/>
        </w:rPr>
        <w:t> </w:t>
      </w:r>
      <w:r>
        <w:rPr/>
        <w:t>contributions</w:t>
      </w:r>
      <w:r>
        <w:rPr>
          <w:spacing w:val="-14"/>
        </w:rPr>
        <w:t> </w:t>
      </w:r>
      <w:r>
        <w:rPr/>
        <w:t>to</w:t>
      </w:r>
      <w:r>
        <w:rPr>
          <w:spacing w:val="-11"/>
        </w:rPr>
        <w:t> </w:t>
      </w:r>
      <w:r>
        <w:rPr/>
        <w:t>course</w:t>
      </w:r>
      <w:r>
        <w:rPr>
          <w:spacing w:val="-14"/>
        </w:rPr>
        <w:t> </w:t>
      </w:r>
      <w:r>
        <w:rPr/>
        <w:t>and/or</w:t>
      </w:r>
      <w:r>
        <w:rPr>
          <w:spacing w:val="-12"/>
        </w:rPr>
        <w:t> </w:t>
      </w:r>
      <w:r>
        <w:rPr/>
        <w:t>curriculum</w:t>
      </w:r>
      <w:r>
        <w:rPr>
          <w:spacing w:val="-14"/>
        </w:rPr>
        <w:t> </w:t>
      </w:r>
      <w:r>
        <w:rPr/>
        <w:t>development and/or to pedagogy related to the Integrated case. A significant number of the considerations</w:t>
      </w:r>
      <w:r>
        <w:rPr>
          <w:spacing w:val="-1"/>
        </w:rPr>
        <w:t> </w:t>
      </w:r>
      <w:r>
        <w:rPr/>
        <w:t>listed in Section II(C)(3)</w:t>
      </w:r>
      <w:r>
        <w:rPr>
          <w:spacing w:val="-1"/>
        </w:rPr>
        <w:t> </w:t>
      </w:r>
      <w:r>
        <w:rPr/>
        <w:t>of this</w:t>
      </w:r>
      <w:r>
        <w:rPr>
          <w:spacing w:val="-1"/>
        </w:rPr>
        <w:t> </w:t>
      </w:r>
      <w:r>
        <w:rPr/>
        <w:t>document indicate that the candidate is performing well in teaching</w:t>
      </w:r>
    </w:p>
    <w:p>
      <w:pPr>
        <w:pStyle w:val="BodyText"/>
        <w:spacing w:before="293"/>
        <w:ind w:left="479"/>
      </w:pPr>
      <w:r>
        <w:rPr/>
        <w:t>In</w:t>
      </w:r>
      <w:r>
        <w:rPr>
          <w:spacing w:val="-1"/>
        </w:rPr>
        <w:t> </w:t>
      </w:r>
      <w:r>
        <w:rPr/>
        <w:t>terms</w:t>
      </w:r>
      <w:r>
        <w:rPr>
          <w:spacing w:val="-2"/>
        </w:rPr>
        <w:t> </w:t>
      </w:r>
      <w:r>
        <w:rPr/>
        <w:t>of</w:t>
      </w:r>
      <w:r>
        <w:rPr>
          <w:spacing w:val="-3"/>
        </w:rPr>
        <w:t> </w:t>
      </w:r>
      <w:r>
        <w:rPr/>
        <w:t>quantity</w:t>
      </w:r>
      <w:r>
        <w:rPr>
          <w:spacing w:val="-2"/>
        </w:rPr>
        <w:t> </w:t>
      </w:r>
      <w:r>
        <w:rPr/>
        <w:t>and</w:t>
      </w:r>
      <w:r>
        <w:rPr>
          <w:spacing w:val="-4"/>
        </w:rPr>
        <w:t> </w:t>
      </w:r>
      <w:r>
        <w:rPr/>
        <w:t>quality,</w:t>
      </w:r>
      <w:r>
        <w:rPr>
          <w:spacing w:val="-1"/>
        </w:rPr>
        <w:t> </w:t>
      </w:r>
      <w:r>
        <w:rPr/>
        <w:t>the</w:t>
      </w:r>
      <w:r>
        <w:rPr>
          <w:spacing w:val="-1"/>
        </w:rPr>
        <w:t> </w:t>
      </w:r>
      <w:r>
        <w:rPr/>
        <w:t>candidate’s</w:t>
      </w:r>
      <w:r>
        <w:rPr>
          <w:spacing w:val="-4"/>
        </w:rPr>
        <w:t> </w:t>
      </w:r>
      <w:r>
        <w:rPr/>
        <w:t>service</w:t>
      </w:r>
      <w:r>
        <w:rPr>
          <w:spacing w:val="-2"/>
        </w:rPr>
        <w:t> </w:t>
      </w:r>
      <w:r>
        <w:rPr/>
        <w:t>record is</w:t>
      </w:r>
      <w:r>
        <w:rPr>
          <w:spacing w:val="-2"/>
        </w:rPr>
        <w:t> </w:t>
      </w:r>
      <w:r>
        <w:rPr/>
        <w:t>strong,</w:t>
      </w:r>
      <w:r>
        <w:rPr>
          <w:spacing w:val="-4"/>
        </w:rPr>
        <w:t> </w:t>
      </w:r>
      <w:r>
        <w:rPr/>
        <w:t>commendable,</w:t>
      </w:r>
      <w:r>
        <w:rPr>
          <w:spacing w:val="-1"/>
        </w:rPr>
        <w:t> </w:t>
      </w:r>
      <w:r>
        <w:rPr>
          <w:spacing w:val="-5"/>
        </w:rPr>
        <w:t>and</w:t>
      </w:r>
    </w:p>
    <w:p>
      <w:pPr>
        <w:spacing w:after="0"/>
        <w:sectPr>
          <w:pgSz w:w="12240" w:h="15840"/>
          <w:pgMar w:header="0" w:footer="1712" w:top="1400" w:bottom="1940" w:left="1320" w:right="1180"/>
        </w:sectPr>
      </w:pPr>
    </w:p>
    <w:p>
      <w:pPr>
        <w:pStyle w:val="BodyText"/>
        <w:spacing w:before="39"/>
        <w:ind w:left="480" w:right="263"/>
      </w:pPr>
      <w:r>
        <w:rPr/>
        <w:t>recognized beyond the Kelley School.</w:t>
      </w:r>
      <w:r>
        <w:rPr>
          <w:spacing w:val="-1"/>
        </w:rPr>
        <w:t> </w:t>
      </w:r>
      <w:r>
        <w:rPr/>
        <w:t>Examples may include peer-reviewed scholarship and presentations, published books/chapters/manuals, contributions to local/national media, blogs/podcasts, grants, editorships, community leadership, and/or other contributions to the dissemination of service contributions related to the Integrated case. The record is focused mainly on department, school, campus-level, regional service, and efforts and contributions that enhance the School’s service mission, values, and goals related to the Integrated case. Such a record reflects a significant number and range of student, department, school, or campus service activities of the sorts listed above in the description of the </w:t>
      </w:r>
      <w:r>
        <w:rPr>
          <w:i/>
        </w:rPr>
        <w:t>excellent </w:t>
      </w:r>
      <w:r>
        <w:rPr/>
        <w:t>service rating. The record also contains evidence that certain service activities required a significant time commitment. Extended high-level service within the school in roles such as program chair may contribute to recognition for service. Colleagues and</w:t>
      </w:r>
      <w:r>
        <w:rPr>
          <w:spacing w:val="-2"/>
        </w:rPr>
        <w:t> </w:t>
      </w:r>
      <w:r>
        <w:rPr/>
        <w:t>other</w:t>
      </w:r>
      <w:r>
        <w:rPr>
          <w:spacing w:val="-1"/>
        </w:rPr>
        <w:t> </w:t>
      </w:r>
      <w:r>
        <w:rPr/>
        <w:t>knowledgeable observers/evaluators</w:t>
      </w:r>
      <w:r>
        <w:rPr>
          <w:spacing w:val="-1"/>
        </w:rPr>
        <w:t> </w:t>
      </w:r>
      <w:r>
        <w:rPr/>
        <w:t>of</w:t>
      </w:r>
      <w:r>
        <w:rPr>
          <w:spacing w:val="-2"/>
        </w:rPr>
        <w:t> </w:t>
      </w:r>
      <w:r>
        <w:rPr/>
        <w:t>the service activities</w:t>
      </w:r>
      <w:r>
        <w:rPr>
          <w:spacing w:val="-1"/>
        </w:rPr>
        <w:t> </w:t>
      </w:r>
      <w:r>
        <w:rPr/>
        <w:t>assess</w:t>
      </w:r>
      <w:r>
        <w:rPr>
          <w:spacing w:val="-4"/>
        </w:rPr>
        <w:t> </w:t>
      </w:r>
      <w:r>
        <w:rPr/>
        <w:t>the service</w:t>
      </w:r>
      <w:r>
        <w:rPr>
          <w:spacing w:val="-3"/>
        </w:rPr>
        <w:t> </w:t>
      </w:r>
      <w:r>
        <w:rPr/>
        <w:t>in highly favorable terms and confirm its impact related to the Integrated area. Where appropriate,</w:t>
      </w:r>
      <w:r>
        <w:rPr>
          <w:spacing w:val="-12"/>
        </w:rPr>
        <w:t> </w:t>
      </w:r>
      <w:r>
        <w:rPr/>
        <w:t>the</w:t>
      </w:r>
      <w:r>
        <w:rPr>
          <w:spacing w:val="-12"/>
        </w:rPr>
        <w:t> </w:t>
      </w:r>
      <w:r>
        <w:rPr/>
        <w:t>faculty</w:t>
      </w:r>
      <w:r>
        <w:rPr>
          <w:spacing w:val="-13"/>
        </w:rPr>
        <w:t> </w:t>
      </w:r>
      <w:r>
        <w:rPr/>
        <w:t>member</w:t>
      </w:r>
      <w:r>
        <w:rPr>
          <w:spacing w:val="-10"/>
        </w:rPr>
        <w:t> </w:t>
      </w:r>
      <w:r>
        <w:rPr/>
        <w:t>has</w:t>
      </w:r>
      <w:r>
        <w:rPr>
          <w:spacing w:val="-13"/>
        </w:rPr>
        <w:t> </w:t>
      </w:r>
      <w:r>
        <w:rPr/>
        <w:t>demonstrated</w:t>
      </w:r>
      <w:r>
        <w:rPr>
          <w:spacing w:val="-9"/>
        </w:rPr>
        <w:t> </w:t>
      </w:r>
      <w:r>
        <w:rPr/>
        <w:t>the</w:t>
      </w:r>
      <w:r>
        <w:rPr>
          <w:spacing w:val="-9"/>
        </w:rPr>
        <w:t> </w:t>
      </w:r>
      <w:r>
        <w:rPr/>
        <w:t>ability</w:t>
      </w:r>
      <w:r>
        <w:rPr>
          <w:spacing w:val="-13"/>
        </w:rPr>
        <w:t> </w:t>
      </w:r>
      <w:r>
        <w:rPr/>
        <w:t>to</w:t>
      </w:r>
      <w:r>
        <w:rPr>
          <w:spacing w:val="-12"/>
        </w:rPr>
        <w:t> </w:t>
      </w:r>
      <w:r>
        <w:rPr/>
        <w:t>develop</w:t>
      </w:r>
      <w:r>
        <w:rPr>
          <w:spacing w:val="-11"/>
        </w:rPr>
        <w:t> </w:t>
      </w:r>
      <w:r>
        <w:rPr/>
        <w:t>support</w:t>
      </w:r>
      <w:r>
        <w:rPr>
          <w:spacing w:val="-11"/>
        </w:rPr>
        <w:t> </w:t>
      </w:r>
      <w:r>
        <w:rPr/>
        <w:t>for</w:t>
      </w:r>
      <w:r>
        <w:rPr>
          <w:spacing w:val="-10"/>
        </w:rPr>
        <w:t> </w:t>
      </w:r>
      <w:r>
        <w:rPr/>
        <w:t>service activities. The faculty member’s activities contribute substantially beyond the norm to the reputation of the School and University.</w:t>
      </w:r>
    </w:p>
    <w:p>
      <w:pPr>
        <w:pStyle w:val="BodyText"/>
        <w:spacing w:line="237" w:lineRule="auto" w:before="293"/>
        <w:ind w:left="480" w:right="694"/>
      </w:pPr>
      <w:r>
        <w:rPr/>
        <w:t>For promotion</w:t>
      </w:r>
      <w:r>
        <w:rPr>
          <w:spacing w:val="-2"/>
        </w:rPr>
        <w:t> </w:t>
      </w:r>
      <w:r>
        <w:rPr/>
        <w:t>to</w:t>
      </w:r>
      <w:r>
        <w:rPr>
          <w:spacing w:val="-2"/>
        </w:rPr>
        <w:t> </w:t>
      </w:r>
      <w:r>
        <w:rPr/>
        <w:t>Associate Clinical Professor,</w:t>
      </w:r>
      <w:r>
        <w:rPr>
          <w:spacing w:val="-3"/>
        </w:rPr>
        <w:t> </w:t>
      </w:r>
      <w:r>
        <w:rPr/>
        <w:t>the candidate is</w:t>
      </w:r>
      <w:r>
        <w:rPr>
          <w:spacing w:val="-3"/>
        </w:rPr>
        <w:t> </w:t>
      </w:r>
      <w:r>
        <w:rPr/>
        <w:t>establishing</w:t>
      </w:r>
      <w:r>
        <w:rPr>
          <w:spacing w:val="-1"/>
        </w:rPr>
        <w:t> </w:t>
      </w:r>
      <w:r>
        <w:rPr/>
        <w:t>a position of leadership</w:t>
      </w:r>
      <w:r>
        <w:rPr>
          <w:spacing w:val="-4"/>
        </w:rPr>
        <w:t> </w:t>
      </w:r>
      <w:r>
        <w:rPr/>
        <w:t>in</w:t>
      </w:r>
      <w:r>
        <w:rPr>
          <w:spacing w:val="-4"/>
        </w:rPr>
        <w:t> </w:t>
      </w:r>
      <w:r>
        <w:rPr/>
        <w:t>their</w:t>
      </w:r>
      <w:r>
        <w:rPr>
          <w:spacing w:val="-2"/>
        </w:rPr>
        <w:t> </w:t>
      </w:r>
      <w:r>
        <w:rPr/>
        <w:t>Integrated</w:t>
      </w:r>
      <w:r>
        <w:rPr>
          <w:spacing w:val="-4"/>
        </w:rPr>
        <w:t> </w:t>
      </w:r>
      <w:r>
        <w:rPr/>
        <w:t>area.</w:t>
      </w:r>
      <w:r>
        <w:rPr>
          <w:spacing w:val="-6"/>
        </w:rPr>
        <w:t> </w:t>
      </w:r>
      <w:r>
        <w:rPr/>
        <w:t>The</w:t>
      </w:r>
      <w:r>
        <w:rPr>
          <w:spacing w:val="-4"/>
        </w:rPr>
        <w:t> </w:t>
      </w:r>
      <w:r>
        <w:rPr/>
        <w:t>candidate</w:t>
      </w:r>
      <w:r>
        <w:rPr>
          <w:spacing w:val="-4"/>
        </w:rPr>
        <w:t> </w:t>
      </w:r>
      <w:r>
        <w:rPr/>
        <w:t>must</w:t>
      </w:r>
      <w:r>
        <w:rPr>
          <w:spacing w:val="-4"/>
        </w:rPr>
        <w:t> </w:t>
      </w:r>
      <w:r>
        <w:rPr/>
        <w:t>demonstrate</w:t>
      </w:r>
      <w:r>
        <w:rPr>
          <w:spacing w:val="-2"/>
        </w:rPr>
        <w:t> </w:t>
      </w:r>
      <w:r>
        <w:rPr/>
        <w:t>excellence</w:t>
      </w:r>
      <w:r>
        <w:rPr>
          <w:spacing w:val="-4"/>
        </w:rPr>
        <w:t> </w:t>
      </w:r>
      <w:r>
        <w:rPr/>
        <w:t>beyond the Kelley School. Indicators of leadership may include published instructional and disciplinary materials (e.g., articles, textbooks, cases, grants, and similar materials), pedagogical publications, and presentations at disciplinary and pedagogical conferences. Quality academic and/or professional peer-reviewed scholarship is required for achieving an excellent rating. Dissemination to others is further defined in Appendix 2.</w:t>
      </w:r>
    </w:p>
    <w:p>
      <w:pPr>
        <w:pStyle w:val="BodyText"/>
        <w:spacing w:before="7"/>
      </w:pPr>
    </w:p>
    <w:p>
      <w:pPr>
        <w:pStyle w:val="BodyText"/>
        <w:ind w:left="480"/>
      </w:pPr>
      <w:r>
        <w:rPr/>
        <w:t>For promotion to Clinical Professor, the candidate is establishing a position of leadership in their</w:t>
      </w:r>
      <w:r>
        <w:rPr>
          <w:spacing w:val="-5"/>
        </w:rPr>
        <w:t> </w:t>
      </w:r>
      <w:r>
        <w:rPr/>
        <w:t>Integrated</w:t>
      </w:r>
      <w:r>
        <w:rPr>
          <w:spacing w:val="-4"/>
        </w:rPr>
        <w:t> </w:t>
      </w:r>
      <w:r>
        <w:rPr/>
        <w:t>area.</w:t>
      </w:r>
      <w:r>
        <w:rPr>
          <w:spacing w:val="-3"/>
        </w:rPr>
        <w:t> </w:t>
      </w:r>
      <w:r>
        <w:rPr/>
        <w:t>The</w:t>
      </w:r>
      <w:r>
        <w:rPr>
          <w:spacing w:val="-2"/>
        </w:rPr>
        <w:t> </w:t>
      </w:r>
      <w:r>
        <w:rPr/>
        <w:t>candidate</w:t>
      </w:r>
      <w:r>
        <w:rPr>
          <w:spacing w:val="-2"/>
        </w:rPr>
        <w:t> </w:t>
      </w:r>
      <w:r>
        <w:rPr/>
        <w:t>must</w:t>
      </w:r>
      <w:r>
        <w:rPr>
          <w:spacing w:val="-4"/>
        </w:rPr>
        <w:t> </w:t>
      </w:r>
      <w:r>
        <w:rPr/>
        <w:t>demonstrate</w:t>
      </w:r>
      <w:r>
        <w:rPr>
          <w:spacing w:val="-4"/>
        </w:rPr>
        <w:t> </w:t>
      </w:r>
      <w:r>
        <w:rPr/>
        <w:t>excellence</w:t>
      </w:r>
      <w:r>
        <w:rPr>
          <w:spacing w:val="-4"/>
        </w:rPr>
        <w:t> </w:t>
      </w:r>
      <w:r>
        <w:rPr/>
        <w:t>beyond</w:t>
      </w:r>
      <w:r>
        <w:rPr>
          <w:spacing w:val="-4"/>
        </w:rPr>
        <w:t> </w:t>
      </w:r>
      <w:r>
        <w:rPr/>
        <w:t>the</w:t>
      </w:r>
      <w:r>
        <w:rPr>
          <w:spacing w:val="-2"/>
        </w:rPr>
        <w:t> </w:t>
      </w:r>
      <w:r>
        <w:rPr/>
        <w:t>Kelley</w:t>
      </w:r>
      <w:r>
        <w:rPr>
          <w:spacing w:val="-3"/>
        </w:rPr>
        <w:t> </w:t>
      </w:r>
      <w:r>
        <w:rPr/>
        <w:t>School and IUPUI. Quality academic and/or professional peer-reviewed scholarship is required for achieving an excellent rating. Dissemination to others is further defined in Appendix 2.</w:t>
      </w:r>
    </w:p>
    <w:p>
      <w:pPr>
        <w:spacing w:after="0"/>
        <w:sectPr>
          <w:pgSz w:w="12240" w:h="15840"/>
          <w:pgMar w:header="0" w:footer="1712" w:top="1400" w:bottom="1980" w:left="1320" w:right="1180"/>
        </w:sectPr>
      </w:pPr>
    </w:p>
    <w:p>
      <w:pPr>
        <w:pStyle w:val="Heading1"/>
        <w:spacing w:before="39"/>
      </w:pPr>
      <w:r>
        <w:rPr/>
        <w:t>APPENDIX</w:t>
      </w:r>
      <w:r>
        <w:rPr>
          <w:spacing w:val="-2"/>
        </w:rPr>
        <w:t> </w:t>
      </w:r>
      <w:r>
        <w:rPr/>
        <w:t>1.</w:t>
      </w:r>
      <w:r>
        <w:rPr>
          <w:spacing w:val="49"/>
        </w:rPr>
        <w:t> </w:t>
      </w:r>
      <w:r>
        <w:rPr/>
        <w:t>IUPUI</w:t>
      </w:r>
      <w:r>
        <w:rPr>
          <w:spacing w:val="-1"/>
        </w:rPr>
        <w:t> </w:t>
      </w:r>
      <w:r>
        <w:rPr/>
        <w:t>Campus and</w:t>
      </w:r>
      <w:r>
        <w:rPr>
          <w:spacing w:val="-2"/>
        </w:rPr>
        <w:t> </w:t>
      </w:r>
      <w:r>
        <w:rPr/>
        <w:t>IU</w:t>
      </w:r>
      <w:r>
        <w:rPr>
          <w:spacing w:val="-1"/>
        </w:rPr>
        <w:t> </w:t>
      </w:r>
      <w:r>
        <w:rPr>
          <w:spacing w:val="-2"/>
        </w:rPr>
        <w:t>Policies:</w:t>
      </w:r>
    </w:p>
    <w:p>
      <w:pPr>
        <w:pStyle w:val="BodyText"/>
        <w:rPr>
          <w:b/>
        </w:rPr>
      </w:pPr>
    </w:p>
    <w:p>
      <w:pPr>
        <w:spacing w:line="292" w:lineRule="exact" w:before="0"/>
        <w:ind w:left="119" w:right="0" w:firstLine="0"/>
        <w:jc w:val="left"/>
        <w:rPr>
          <w:b/>
          <w:sz w:val="24"/>
        </w:rPr>
      </w:pPr>
      <w:r>
        <w:rPr>
          <w:b/>
          <w:sz w:val="24"/>
        </w:rPr>
        <w:t>Selected</w:t>
      </w:r>
      <w:r>
        <w:rPr>
          <w:b/>
          <w:spacing w:val="-2"/>
          <w:sz w:val="24"/>
        </w:rPr>
        <w:t> </w:t>
      </w:r>
      <w:r>
        <w:rPr>
          <w:b/>
          <w:sz w:val="24"/>
        </w:rPr>
        <w:t>Specific</w:t>
      </w:r>
      <w:r>
        <w:rPr>
          <w:b/>
          <w:spacing w:val="-2"/>
          <w:sz w:val="24"/>
        </w:rPr>
        <w:t> Policies:</w:t>
      </w:r>
    </w:p>
    <w:p>
      <w:pPr>
        <w:pStyle w:val="ListParagraph"/>
        <w:numPr>
          <w:ilvl w:val="0"/>
          <w:numId w:val="12"/>
        </w:numPr>
        <w:tabs>
          <w:tab w:pos="479" w:val="left" w:leader="none"/>
        </w:tabs>
        <w:spacing w:line="305" w:lineRule="exact" w:before="0" w:after="0"/>
        <w:ind w:left="479" w:right="0" w:hanging="359"/>
        <w:jc w:val="left"/>
        <w:rPr>
          <w:rFonts w:ascii="Symbol" w:hAnsi="Symbol"/>
          <w:color w:val="333333"/>
          <w:sz w:val="24"/>
        </w:rPr>
      </w:pPr>
      <w:bookmarkStart w:name=" University Policy ACA 12   General Pro" w:id="33"/>
      <w:bookmarkEnd w:id="33"/>
      <w:r>
        <w:rPr/>
      </w:r>
      <w:hyperlink r:id="rId9">
        <w:r>
          <w:rPr>
            <w:color w:val="0562C1"/>
            <w:sz w:val="24"/>
            <w:u w:val="single" w:color="0562C1"/>
          </w:rPr>
          <w:t>University</w:t>
        </w:r>
        <w:r>
          <w:rPr>
            <w:color w:val="0562C1"/>
            <w:spacing w:val="-2"/>
            <w:sz w:val="24"/>
            <w:u w:val="single" w:color="0562C1"/>
          </w:rPr>
          <w:t> </w:t>
        </w:r>
        <w:r>
          <w:rPr>
            <w:color w:val="0562C1"/>
            <w:sz w:val="24"/>
            <w:u w:val="single" w:color="0562C1"/>
          </w:rPr>
          <w:t>Policy</w:t>
        </w:r>
        <w:r>
          <w:rPr>
            <w:color w:val="0562C1"/>
            <w:spacing w:val="-2"/>
            <w:sz w:val="24"/>
            <w:u w:val="single" w:color="0562C1"/>
          </w:rPr>
          <w:t> </w:t>
        </w:r>
        <w:r>
          <w:rPr>
            <w:color w:val="0562C1"/>
            <w:sz w:val="24"/>
            <w:u w:val="single" w:color="0562C1"/>
          </w:rPr>
          <w:t>ACA 12</w:t>
        </w:r>
      </w:hyperlink>
      <w:r>
        <w:rPr>
          <w:color w:val="0562C1"/>
          <w:spacing w:val="51"/>
          <w:sz w:val="24"/>
          <w:u w:val="single" w:color="0562C1"/>
        </w:rPr>
        <w:t> </w:t>
      </w:r>
      <w:r>
        <w:rPr>
          <w:color w:val="0562C1"/>
          <w:spacing w:val="-2"/>
          <w:sz w:val="24"/>
        </w:rPr>
        <w:t> </w:t>
      </w:r>
      <w:r>
        <w:rPr>
          <w:color w:val="333333"/>
          <w:sz w:val="24"/>
        </w:rPr>
        <w:t>General</w:t>
      </w:r>
      <w:r>
        <w:rPr>
          <w:color w:val="333333"/>
          <w:spacing w:val="-4"/>
          <w:sz w:val="24"/>
        </w:rPr>
        <w:t> </w:t>
      </w:r>
      <w:r>
        <w:rPr>
          <w:color w:val="333333"/>
          <w:sz w:val="24"/>
        </w:rPr>
        <w:t>Provisions</w:t>
      </w:r>
      <w:r>
        <w:rPr>
          <w:color w:val="333333"/>
          <w:spacing w:val="-1"/>
          <w:sz w:val="24"/>
        </w:rPr>
        <w:t> </w:t>
      </w:r>
      <w:r>
        <w:rPr>
          <w:color w:val="333333"/>
          <w:sz w:val="24"/>
        </w:rPr>
        <w:t>Regarding</w:t>
      </w:r>
      <w:r>
        <w:rPr>
          <w:color w:val="333333"/>
          <w:spacing w:val="-4"/>
          <w:sz w:val="24"/>
        </w:rPr>
        <w:t> </w:t>
      </w:r>
      <w:r>
        <w:rPr>
          <w:color w:val="333333"/>
          <w:sz w:val="24"/>
        </w:rPr>
        <w:t>Academic</w:t>
      </w:r>
      <w:r>
        <w:rPr>
          <w:color w:val="333333"/>
          <w:spacing w:val="-4"/>
          <w:sz w:val="24"/>
        </w:rPr>
        <w:t> </w:t>
      </w:r>
      <w:r>
        <w:rPr>
          <w:color w:val="333333"/>
          <w:spacing w:val="-2"/>
          <w:sz w:val="24"/>
        </w:rPr>
        <w:t>Appointments</w:t>
      </w:r>
    </w:p>
    <w:p>
      <w:pPr>
        <w:pStyle w:val="ListParagraph"/>
        <w:numPr>
          <w:ilvl w:val="0"/>
          <w:numId w:val="12"/>
        </w:numPr>
        <w:tabs>
          <w:tab w:pos="479" w:val="left" w:leader="none"/>
        </w:tabs>
        <w:spacing w:line="305" w:lineRule="exact" w:before="1" w:after="0"/>
        <w:ind w:left="479" w:right="0" w:hanging="359"/>
        <w:jc w:val="left"/>
        <w:rPr>
          <w:rFonts w:ascii="Symbol" w:hAnsi="Symbol"/>
          <w:sz w:val="24"/>
        </w:rPr>
      </w:pPr>
      <w:hyperlink r:id="rId10">
        <w:r>
          <w:rPr>
            <w:color w:val="0562C1"/>
            <w:sz w:val="24"/>
            <w:u w:val="single" w:color="0562C1"/>
          </w:rPr>
          <w:t>University</w:t>
        </w:r>
        <w:r>
          <w:rPr>
            <w:color w:val="0562C1"/>
            <w:spacing w:val="-6"/>
            <w:sz w:val="24"/>
            <w:u w:val="single" w:color="0562C1"/>
          </w:rPr>
          <w:t> </w:t>
        </w:r>
        <w:r>
          <w:rPr>
            <w:color w:val="0562C1"/>
            <w:sz w:val="24"/>
            <w:u w:val="single" w:color="0562C1"/>
          </w:rPr>
          <w:t>Policy</w:t>
        </w:r>
        <w:r>
          <w:rPr>
            <w:color w:val="0562C1"/>
            <w:spacing w:val="-3"/>
            <w:sz w:val="24"/>
            <w:u w:val="single" w:color="0562C1"/>
          </w:rPr>
          <w:t> </w:t>
        </w:r>
        <w:r>
          <w:rPr>
            <w:color w:val="0562C1"/>
            <w:sz w:val="24"/>
            <w:u w:val="single" w:color="0562C1"/>
          </w:rPr>
          <w:t>ACA-14</w:t>
        </w:r>
      </w:hyperlink>
      <w:r>
        <w:rPr>
          <w:sz w:val="24"/>
        </w:rPr>
        <w:t>:</w:t>
      </w:r>
      <w:r>
        <w:rPr>
          <w:spacing w:val="-4"/>
          <w:sz w:val="24"/>
        </w:rPr>
        <w:t> </w:t>
      </w:r>
      <w:r>
        <w:rPr>
          <w:sz w:val="24"/>
        </w:rPr>
        <w:t>Classification</w:t>
      </w:r>
      <w:r>
        <w:rPr>
          <w:spacing w:val="-1"/>
          <w:sz w:val="24"/>
        </w:rPr>
        <w:t> </w:t>
      </w:r>
      <w:r>
        <w:rPr>
          <w:sz w:val="24"/>
        </w:rPr>
        <w:t>of</w:t>
      </w:r>
      <w:r>
        <w:rPr>
          <w:spacing w:val="-1"/>
          <w:sz w:val="24"/>
        </w:rPr>
        <w:t> </w:t>
      </w:r>
      <w:r>
        <w:rPr>
          <w:sz w:val="24"/>
        </w:rPr>
        <w:t>Academic</w:t>
      </w:r>
      <w:r>
        <w:rPr>
          <w:spacing w:val="-3"/>
          <w:sz w:val="24"/>
        </w:rPr>
        <w:t> </w:t>
      </w:r>
      <w:r>
        <w:rPr>
          <w:spacing w:val="-2"/>
          <w:sz w:val="24"/>
        </w:rPr>
        <w:t>Appointments</w:t>
      </w:r>
    </w:p>
    <w:p>
      <w:pPr>
        <w:pStyle w:val="ListParagraph"/>
        <w:numPr>
          <w:ilvl w:val="0"/>
          <w:numId w:val="12"/>
        </w:numPr>
        <w:tabs>
          <w:tab w:pos="480" w:val="left" w:leader="none"/>
        </w:tabs>
        <w:spacing w:line="240" w:lineRule="auto" w:before="0" w:after="0"/>
        <w:ind w:left="480" w:right="1968" w:hanging="360"/>
        <w:jc w:val="left"/>
        <w:rPr>
          <w:rFonts w:ascii="Symbol" w:hAnsi="Symbol"/>
          <w:sz w:val="24"/>
        </w:rPr>
      </w:pPr>
      <w:hyperlink r:id="rId11">
        <w:r>
          <w:rPr>
            <w:color w:val="0562C1"/>
            <w:sz w:val="24"/>
            <w:u w:val="single" w:color="0562C1"/>
          </w:rPr>
          <w:t>University</w:t>
        </w:r>
        <w:r>
          <w:rPr>
            <w:color w:val="0562C1"/>
            <w:spacing w:val="-5"/>
            <w:sz w:val="24"/>
            <w:u w:val="single" w:color="0562C1"/>
          </w:rPr>
          <w:t> </w:t>
        </w:r>
        <w:r>
          <w:rPr>
            <w:color w:val="0562C1"/>
            <w:sz w:val="24"/>
            <w:u w:val="single" w:color="0562C1"/>
          </w:rPr>
          <w:t>Policy</w:t>
        </w:r>
        <w:r>
          <w:rPr>
            <w:color w:val="0562C1"/>
            <w:spacing w:val="-5"/>
            <w:sz w:val="24"/>
            <w:u w:val="single" w:color="0562C1"/>
          </w:rPr>
          <w:t> </w:t>
        </w:r>
        <w:r>
          <w:rPr>
            <w:color w:val="0562C1"/>
            <w:sz w:val="24"/>
            <w:u w:val="single" w:color="0562C1"/>
          </w:rPr>
          <w:t>ACA-18</w:t>
        </w:r>
      </w:hyperlink>
      <w:r>
        <w:rPr>
          <w:sz w:val="24"/>
        </w:rPr>
        <w:t>:</w:t>
      </w:r>
      <w:r>
        <w:rPr>
          <w:spacing w:val="-6"/>
          <w:sz w:val="24"/>
        </w:rPr>
        <w:t> </w:t>
      </w:r>
      <w:r>
        <w:rPr>
          <w:sz w:val="24"/>
        </w:rPr>
        <w:t>Regulation</w:t>
      </w:r>
      <w:r>
        <w:rPr>
          <w:spacing w:val="-6"/>
          <w:sz w:val="24"/>
        </w:rPr>
        <w:t> </w:t>
      </w:r>
      <w:r>
        <w:rPr>
          <w:sz w:val="24"/>
        </w:rPr>
        <w:t>of</w:t>
      </w:r>
      <w:r>
        <w:rPr>
          <w:spacing w:val="-6"/>
          <w:sz w:val="24"/>
        </w:rPr>
        <w:t> </w:t>
      </w:r>
      <w:r>
        <w:rPr>
          <w:sz w:val="24"/>
        </w:rPr>
        <w:t>Clinical</w:t>
      </w:r>
      <w:r>
        <w:rPr>
          <w:spacing w:val="-4"/>
          <w:sz w:val="24"/>
        </w:rPr>
        <w:t> </w:t>
      </w:r>
      <w:r>
        <w:rPr>
          <w:sz w:val="24"/>
        </w:rPr>
        <w:t>and</w:t>
      </w:r>
      <w:r>
        <w:rPr>
          <w:spacing w:val="-3"/>
          <w:sz w:val="24"/>
        </w:rPr>
        <w:t> </w:t>
      </w:r>
      <w:r>
        <w:rPr>
          <w:sz w:val="24"/>
        </w:rPr>
        <w:t>Lecturer</w:t>
      </w:r>
      <w:r>
        <w:rPr>
          <w:spacing w:val="-6"/>
          <w:sz w:val="24"/>
        </w:rPr>
        <w:t> </w:t>
      </w:r>
      <w:r>
        <w:rPr>
          <w:sz w:val="24"/>
        </w:rPr>
        <w:t>Appointments </w:t>
      </w:r>
      <w:bookmarkStart w:name="University Policy ACA-21 Faculty and Lib" w:id="34"/>
      <w:bookmarkEnd w:id="34"/>
      <w:r>
        <w:rPr>
          <w:sz w:val="24"/>
        </w:rPr>
      </w:r>
      <w:hyperlink r:id="rId12">
        <w:r>
          <w:rPr>
            <w:color w:val="0562C1"/>
            <w:sz w:val="24"/>
            <w:u w:val="single" w:color="0562C1"/>
          </w:rPr>
          <w:t>University Policy ACA-21</w:t>
        </w:r>
      </w:hyperlink>
      <w:r>
        <w:rPr>
          <w:color w:val="0562C1"/>
          <w:sz w:val="24"/>
        </w:rPr>
        <w:t> </w:t>
      </w:r>
      <w:r>
        <w:rPr>
          <w:color w:val="333333"/>
          <w:sz w:val="24"/>
        </w:rPr>
        <w:t>Faculty and Librarian Annual Reviews</w:t>
      </w:r>
    </w:p>
    <w:p>
      <w:pPr>
        <w:pStyle w:val="ListParagraph"/>
        <w:numPr>
          <w:ilvl w:val="0"/>
          <w:numId w:val="12"/>
        </w:numPr>
        <w:tabs>
          <w:tab w:pos="480" w:val="left" w:leader="none"/>
        </w:tabs>
        <w:spacing w:line="242" w:lineRule="auto" w:before="0" w:after="0"/>
        <w:ind w:left="480" w:right="780" w:hanging="360"/>
        <w:jc w:val="left"/>
        <w:rPr>
          <w:rFonts w:ascii="Symbol" w:hAnsi="Symbol"/>
          <w:sz w:val="24"/>
        </w:rPr>
      </w:pPr>
      <w:hyperlink r:id="rId13">
        <w:r>
          <w:rPr>
            <w:color w:val="0562C1"/>
            <w:sz w:val="24"/>
            <w:u w:val="single" w:color="0562C1"/>
          </w:rPr>
          <w:t>University</w:t>
        </w:r>
        <w:r>
          <w:rPr>
            <w:color w:val="0562C1"/>
            <w:spacing w:val="-5"/>
            <w:sz w:val="24"/>
            <w:u w:val="single" w:color="0562C1"/>
          </w:rPr>
          <w:t> </w:t>
        </w:r>
        <w:r>
          <w:rPr>
            <w:color w:val="0562C1"/>
            <w:sz w:val="24"/>
            <w:u w:val="single" w:color="0562C1"/>
          </w:rPr>
          <w:t>Policy</w:t>
        </w:r>
        <w:r>
          <w:rPr>
            <w:color w:val="0562C1"/>
            <w:spacing w:val="-5"/>
            <w:sz w:val="24"/>
            <w:u w:val="single" w:color="0562C1"/>
          </w:rPr>
          <w:t> </w:t>
        </w:r>
        <w:r>
          <w:rPr>
            <w:color w:val="0562C1"/>
            <w:sz w:val="24"/>
            <w:u w:val="single" w:color="0562C1"/>
          </w:rPr>
          <w:t>ACA-22</w:t>
        </w:r>
      </w:hyperlink>
      <w:r>
        <w:rPr>
          <w:color w:val="0562C1"/>
          <w:spacing w:val="-5"/>
          <w:sz w:val="24"/>
        </w:rPr>
        <w:t> </w:t>
      </w:r>
      <w:r>
        <w:rPr>
          <w:sz w:val="24"/>
        </w:rPr>
        <w:t>Reappointment</w:t>
      </w:r>
      <w:r>
        <w:rPr>
          <w:spacing w:val="-3"/>
          <w:sz w:val="24"/>
        </w:rPr>
        <w:t> </w:t>
      </w:r>
      <w:r>
        <w:rPr>
          <w:sz w:val="24"/>
        </w:rPr>
        <w:t>and</w:t>
      </w:r>
      <w:r>
        <w:rPr>
          <w:spacing w:val="-6"/>
          <w:sz w:val="24"/>
        </w:rPr>
        <w:t> </w:t>
      </w:r>
      <w:r>
        <w:rPr>
          <w:sz w:val="24"/>
        </w:rPr>
        <w:t>Non-Reappointment</w:t>
      </w:r>
      <w:r>
        <w:rPr>
          <w:spacing w:val="-6"/>
          <w:sz w:val="24"/>
        </w:rPr>
        <w:t> </w:t>
      </w:r>
      <w:r>
        <w:rPr>
          <w:sz w:val="24"/>
        </w:rPr>
        <w:t>During</w:t>
      </w:r>
      <w:r>
        <w:rPr>
          <w:spacing w:val="-7"/>
          <w:sz w:val="24"/>
        </w:rPr>
        <w:t> </w:t>
      </w:r>
      <w:r>
        <w:rPr>
          <w:sz w:val="24"/>
        </w:rPr>
        <w:t>Probationary </w:t>
      </w:r>
      <w:bookmarkStart w:name="University Policy ACA-25  Annual Reports" w:id="35"/>
      <w:bookmarkEnd w:id="35"/>
      <w:r>
        <w:rPr>
          <w:spacing w:val="-2"/>
          <w:sz w:val="24"/>
        </w:rPr>
        <w:t>Perio</w:t>
      </w:r>
      <w:r>
        <w:rPr>
          <w:spacing w:val="-2"/>
          <w:sz w:val="24"/>
        </w:rPr>
        <w:t>d.</w:t>
      </w:r>
    </w:p>
    <w:p>
      <w:pPr>
        <w:pStyle w:val="BodyText"/>
        <w:spacing w:line="289" w:lineRule="exact"/>
        <w:ind w:left="480"/>
      </w:pPr>
      <w:hyperlink r:id="rId14">
        <w:r>
          <w:rPr>
            <w:color w:val="0562C1"/>
            <w:u w:val="single" w:color="0562C1"/>
          </w:rPr>
          <w:t>University</w:t>
        </w:r>
        <w:r>
          <w:rPr>
            <w:color w:val="0562C1"/>
            <w:spacing w:val="-3"/>
            <w:u w:val="single" w:color="0562C1"/>
          </w:rPr>
          <w:t> </w:t>
        </w:r>
        <w:r>
          <w:rPr>
            <w:color w:val="0562C1"/>
            <w:u w:val="single" w:color="0562C1"/>
          </w:rPr>
          <w:t>Policy</w:t>
        </w:r>
        <w:r>
          <w:rPr>
            <w:color w:val="0562C1"/>
            <w:spacing w:val="-2"/>
            <w:u w:val="single" w:color="0562C1"/>
          </w:rPr>
          <w:t> </w:t>
        </w:r>
        <w:r>
          <w:rPr>
            <w:color w:val="0562C1"/>
            <w:u w:val="single" w:color="0562C1"/>
          </w:rPr>
          <w:t>ACA-25</w:t>
        </w:r>
      </w:hyperlink>
      <w:r>
        <w:rPr>
          <w:color w:val="0562C1"/>
          <w:spacing w:val="51"/>
        </w:rPr>
        <w:t> </w:t>
      </w:r>
      <w:r>
        <w:rPr>
          <w:color w:val="333333"/>
        </w:rPr>
        <w:t>Annual</w:t>
      </w:r>
      <w:r>
        <w:rPr>
          <w:color w:val="333333"/>
          <w:spacing w:val="-2"/>
        </w:rPr>
        <w:t> </w:t>
      </w:r>
      <w:r>
        <w:rPr>
          <w:color w:val="333333"/>
        </w:rPr>
        <w:t>Reports</w:t>
      </w:r>
      <w:r>
        <w:rPr>
          <w:color w:val="333333"/>
          <w:spacing w:val="-2"/>
        </w:rPr>
        <w:t> </w:t>
      </w:r>
      <w:r>
        <w:rPr>
          <w:color w:val="333333"/>
        </w:rPr>
        <w:t>for</w:t>
      </w:r>
      <w:r>
        <w:rPr>
          <w:color w:val="333333"/>
          <w:spacing w:val="-1"/>
        </w:rPr>
        <w:t> </w:t>
      </w:r>
      <w:r>
        <w:rPr>
          <w:color w:val="333333"/>
        </w:rPr>
        <w:t>Faculty</w:t>
      </w:r>
      <w:r>
        <w:rPr>
          <w:color w:val="333333"/>
          <w:spacing w:val="-2"/>
        </w:rPr>
        <w:t> </w:t>
      </w:r>
      <w:r>
        <w:rPr>
          <w:color w:val="333333"/>
        </w:rPr>
        <w:t>and </w:t>
      </w:r>
      <w:r>
        <w:rPr>
          <w:color w:val="333333"/>
          <w:spacing w:val="-2"/>
        </w:rPr>
        <w:t>Librarians</w:t>
      </w:r>
    </w:p>
    <w:p>
      <w:pPr>
        <w:pStyle w:val="ListParagraph"/>
        <w:numPr>
          <w:ilvl w:val="0"/>
          <w:numId w:val="12"/>
        </w:numPr>
        <w:tabs>
          <w:tab w:pos="479" w:val="left" w:leader="none"/>
        </w:tabs>
        <w:spacing w:line="305" w:lineRule="exact" w:before="0" w:after="0"/>
        <w:ind w:left="479" w:right="0" w:hanging="359"/>
        <w:jc w:val="left"/>
        <w:rPr>
          <w:rFonts w:ascii="Symbol" w:hAnsi="Symbol"/>
          <w:color w:val="2D74B5"/>
          <w:sz w:val="24"/>
        </w:rPr>
      </w:pPr>
      <w:bookmarkStart w:name=" University Policy ACA-38:  Faculty and" w:id="36"/>
      <w:bookmarkEnd w:id="36"/>
      <w:r>
        <w:rPr/>
      </w:r>
      <w:bookmarkStart w:name=" University Policy ACA-52:  Permanent S" w:id="37"/>
      <w:bookmarkEnd w:id="37"/>
      <w:r>
        <w:rPr>
          <w:rFonts w:ascii="Times New Roman" w:hAnsi="Times New Roman"/>
          <w:color w:val="2D74B5"/>
          <w:sz w:val="24"/>
        </w:rPr>
      </w:r>
      <w:hyperlink r:id="rId15">
        <w:r>
          <w:rPr>
            <w:color w:val="0562C1"/>
            <w:sz w:val="24"/>
            <w:u w:val="single" w:color="0562C1"/>
          </w:rPr>
          <w:t>University</w:t>
        </w:r>
        <w:r>
          <w:rPr>
            <w:color w:val="0562C1"/>
            <w:spacing w:val="-3"/>
            <w:sz w:val="24"/>
            <w:u w:val="single" w:color="0562C1"/>
          </w:rPr>
          <w:t> </w:t>
        </w:r>
        <w:r>
          <w:rPr>
            <w:color w:val="0562C1"/>
            <w:sz w:val="24"/>
            <w:u w:val="single" w:color="0562C1"/>
          </w:rPr>
          <w:t>Policy</w:t>
        </w:r>
        <w:r>
          <w:rPr>
            <w:color w:val="0562C1"/>
            <w:spacing w:val="-2"/>
            <w:sz w:val="24"/>
            <w:u w:val="single" w:color="0562C1"/>
          </w:rPr>
          <w:t> </w:t>
        </w:r>
        <w:r>
          <w:rPr>
            <w:color w:val="0562C1"/>
            <w:sz w:val="24"/>
            <w:u w:val="single" w:color="0562C1"/>
          </w:rPr>
          <w:t>ACA-38</w:t>
        </w:r>
      </w:hyperlink>
      <w:r>
        <w:rPr>
          <w:color w:val="2D74B5"/>
          <w:sz w:val="24"/>
        </w:rPr>
        <w:t>:</w:t>
      </w:r>
      <w:r>
        <w:rPr>
          <w:color w:val="2D74B5"/>
          <w:spacing w:val="49"/>
          <w:sz w:val="24"/>
        </w:rPr>
        <w:t> </w:t>
      </w:r>
      <w:r>
        <w:rPr>
          <w:sz w:val="24"/>
        </w:rPr>
        <w:t>Faculty</w:t>
      </w:r>
      <w:r>
        <w:rPr>
          <w:spacing w:val="-2"/>
          <w:sz w:val="24"/>
        </w:rPr>
        <w:t> </w:t>
      </w:r>
      <w:r>
        <w:rPr>
          <w:sz w:val="24"/>
        </w:rPr>
        <w:t>and</w:t>
      </w:r>
      <w:r>
        <w:rPr>
          <w:spacing w:val="-1"/>
          <w:sz w:val="24"/>
        </w:rPr>
        <w:t> </w:t>
      </w:r>
      <w:r>
        <w:rPr>
          <w:sz w:val="24"/>
        </w:rPr>
        <w:t>Librarian </w:t>
      </w:r>
      <w:r>
        <w:rPr>
          <w:spacing w:val="-2"/>
          <w:sz w:val="24"/>
        </w:rPr>
        <w:t>Promotions</w:t>
      </w:r>
    </w:p>
    <w:p>
      <w:pPr>
        <w:pStyle w:val="ListParagraph"/>
        <w:numPr>
          <w:ilvl w:val="0"/>
          <w:numId w:val="12"/>
        </w:numPr>
        <w:tabs>
          <w:tab w:pos="479" w:val="left" w:leader="none"/>
        </w:tabs>
        <w:spacing w:line="305" w:lineRule="exact" w:before="0" w:after="0"/>
        <w:ind w:left="479" w:right="0" w:hanging="359"/>
        <w:jc w:val="left"/>
        <w:rPr>
          <w:rFonts w:ascii="Symbol" w:hAnsi="Symbol"/>
          <w:color w:val="2D74B5"/>
          <w:sz w:val="24"/>
        </w:rPr>
      </w:pPr>
      <w:hyperlink r:id="rId16">
        <w:r>
          <w:rPr>
            <w:color w:val="0562C1"/>
            <w:sz w:val="24"/>
            <w:u w:val="single" w:color="0562C1"/>
          </w:rPr>
          <w:t>University</w:t>
        </w:r>
        <w:r>
          <w:rPr>
            <w:color w:val="0562C1"/>
            <w:spacing w:val="-2"/>
            <w:sz w:val="24"/>
            <w:u w:val="single" w:color="0562C1"/>
          </w:rPr>
          <w:t> </w:t>
        </w:r>
        <w:r>
          <w:rPr>
            <w:color w:val="0562C1"/>
            <w:sz w:val="24"/>
            <w:u w:val="single" w:color="0562C1"/>
          </w:rPr>
          <w:t>Policy</w:t>
        </w:r>
        <w:r>
          <w:rPr>
            <w:color w:val="0562C1"/>
            <w:spacing w:val="-2"/>
            <w:sz w:val="24"/>
            <w:u w:val="single" w:color="0562C1"/>
          </w:rPr>
          <w:t> </w:t>
        </w:r>
        <w:r>
          <w:rPr>
            <w:color w:val="0562C1"/>
            <w:sz w:val="24"/>
            <w:u w:val="single" w:color="0562C1"/>
          </w:rPr>
          <w:t>ACA-52</w:t>
        </w:r>
      </w:hyperlink>
      <w:r>
        <w:rPr>
          <w:color w:val="2D74B5"/>
          <w:sz w:val="24"/>
        </w:rPr>
        <w:t>:</w:t>
      </w:r>
      <w:r>
        <w:rPr>
          <w:color w:val="2D74B5"/>
          <w:spacing w:val="50"/>
          <w:sz w:val="24"/>
        </w:rPr>
        <w:t> </w:t>
      </w:r>
      <w:r>
        <w:rPr>
          <w:sz w:val="24"/>
        </w:rPr>
        <w:t>Permanent</w:t>
      </w:r>
      <w:r>
        <w:rPr>
          <w:spacing w:val="-3"/>
          <w:sz w:val="24"/>
        </w:rPr>
        <w:t> </w:t>
      </w:r>
      <w:r>
        <w:rPr>
          <w:sz w:val="24"/>
        </w:rPr>
        <w:t>Separations</w:t>
      </w:r>
      <w:r>
        <w:rPr>
          <w:spacing w:val="-3"/>
          <w:sz w:val="24"/>
        </w:rPr>
        <w:t> </w:t>
      </w:r>
      <w:r>
        <w:rPr>
          <w:sz w:val="24"/>
        </w:rPr>
        <w:t>for</w:t>
      </w:r>
      <w:r>
        <w:rPr>
          <w:spacing w:val="-1"/>
          <w:sz w:val="24"/>
        </w:rPr>
        <w:t> </w:t>
      </w:r>
      <w:r>
        <w:rPr>
          <w:sz w:val="24"/>
        </w:rPr>
        <w:t>Academic</w:t>
      </w:r>
      <w:r>
        <w:rPr>
          <w:spacing w:val="-2"/>
          <w:sz w:val="24"/>
        </w:rPr>
        <w:t> Appointees</w:t>
      </w:r>
    </w:p>
    <w:p>
      <w:pPr>
        <w:pStyle w:val="BodyText"/>
      </w:pPr>
    </w:p>
    <w:p>
      <w:pPr>
        <w:pStyle w:val="ListParagraph"/>
        <w:numPr>
          <w:ilvl w:val="0"/>
          <w:numId w:val="12"/>
        </w:numPr>
        <w:tabs>
          <w:tab w:pos="480" w:val="left" w:leader="none"/>
        </w:tabs>
        <w:spacing w:line="240" w:lineRule="auto" w:before="0" w:after="0"/>
        <w:ind w:left="480" w:right="244" w:hanging="360"/>
        <w:jc w:val="left"/>
        <w:rPr>
          <w:rFonts w:ascii="Symbol" w:hAnsi="Symbol"/>
          <w:sz w:val="24"/>
        </w:rPr>
      </w:pPr>
      <w:hyperlink r:id="rId17">
        <w:r>
          <w:rPr>
            <w:color w:val="0562C1"/>
            <w:sz w:val="24"/>
            <w:u w:val="single" w:color="0562C1"/>
          </w:rPr>
          <w:t>IUPUI Faculty Guide</w:t>
        </w:r>
      </w:hyperlink>
      <w:r>
        <w:rPr>
          <w:color w:val="0562C1"/>
          <w:sz w:val="24"/>
          <w:u w:val="single" w:color="0562C1"/>
        </w:rPr>
        <w:t> (Updated July 1, 2019)</w:t>
      </w:r>
      <w:r>
        <w:rPr>
          <w:sz w:val="24"/>
        </w:rPr>
        <w:t>: See pages 13 (Faculty Governance), 36 (The Academic</w:t>
      </w:r>
      <w:r>
        <w:rPr>
          <w:spacing w:val="-4"/>
          <w:sz w:val="24"/>
        </w:rPr>
        <w:t> </w:t>
      </w:r>
      <w:r>
        <w:rPr>
          <w:sz w:val="24"/>
        </w:rPr>
        <w:t>Appointee),</w:t>
      </w:r>
      <w:r>
        <w:rPr>
          <w:spacing w:val="-3"/>
          <w:sz w:val="24"/>
        </w:rPr>
        <w:t> </w:t>
      </w:r>
      <w:r>
        <w:rPr>
          <w:sz w:val="24"/>
        </w:rPr>
        <w:t>48</w:t>
      </w:r>
      <w:r>
        <w:rPr>
          <w:spacing w:val="-5"/>
          <w:sz w:val="24"/>
        </w:rPr>
        <w:t> </w:t>
      </w:r>
      <w:r>
        <w:rPr>
          <w:sz w:val="24"/>
        </w:rPr>
        <w:t>(Reviews</w:t>
      </w:r>
      <w:r>
        <w:rPr>
          <w:spacing w:val="-4"/>
          <w:sz w:val="24"/>
        </w:rPr>
        <w:t> </w:t>
      </w:r>
      <w:r>
        <w:rPr>
          <w:sz w:val="24"/>
        </w:rPr>
        <w:t>and</w:t>
      </w:r>
      <w:r>
        <w:rPr>
          <w:spacing w:val="-2"/>
          <w:sz w:val="24"/>
        </w:rPr>
        <w:t> </w:t>
      </w:r>
      <w:r>
        <w:rPr>
          <w:sz w:val="24"/>
        </w:rPr>
        <w:t>Reappointment</w:t>
      </w:r>
      <w:r>
        <w:rPr>
          <w:spacing w:val="-5"/>
          <w:sz w:val="24"/>
        </w:rPr>
        <w:t> </w:t>
      </w:r>
      <w:r>
        <w:rPr>
          <w:sz w:val="24"/>
        </w:rPr>
        <w:t>Procedures),</w:t>
      </w:r>
      <w:r>
        <w:rPr>
          <w:spacing w:val="-3"/>
          <w:sz w:val="24"/>
        </w:rPr>
        <w:t> </w:t>
      </w:r>
      <w:r>
        <w:rPr>
          <w:sz w:val="24"/>
        </w:rPr>
        <w:t>64</w:t>
      </w:r>
      <w:r>
        <w:rPr>
          <w:spacing w:val="-5"/>
          <w:sz w:val="24"/>
        </w:rPr>
        <w:t> </w:t>
      </w:r>
      <w:r>
        <w:rPr>
          <w:sz w:val="24"/>
        </w:rPr>
        <w:t>(Emeritus</w:t>
      </w:r>
      <w:r>
        <w:rPr>
          <w:spacing w:val="-6"/>
          <w:sz w:val="24"/>
        </w:rPr>
        <w:t> </w:t>
      </w:r>
      <w:r>
        <w:rPr>
          <w:sz w:val="24"/>
        </w:rPr>
        <w:t>Policy),</w:t>
      </w:r>
      <w:r>
        <w:rPr>
          <w:spacing w:val="-3"/>
          <w:sz w:val="24"/>
        </w:rPr>
        <w:t> </w:t>
      </w:r>
      <w:r>
        <w:rPr>
          <w:sz w:val="24"/>
        </w:rPr>
        <w:t>67 (Grievances), and 82 (Policy on Conflict of Interest and Commitment)</w:t>
      </w:r>
    </w:p>
    <w:p>
      <w:pPr>
        <w:pStyle w:val="ListParagraph"/>
        <w:numPr>
          <w:ilvl w:val="0"/>
          <w:numId w:val="12"/>
        </w:numPr>
        <w:tabs>
          <w:tab w:pos="479" w:val="left" w:leader="none"/>
        </w:tabs>
        <w:spacing w:line="304" w:lineRule="exact" w:before="0" w:after="0"/>
        <w:ind w:left="479" w:right="0" w:hanging="359"/>
        <w:jc w:val="left"/>
        <w:rPr>
          <w:rFonts w:ascii="Symbol" w:hAnsi="Symbol"/>
          <w:sz w:val="24"/>
        </w:rPr>
      </w:pPr>
      <w:r>
        <w:rPr>
          <w:sz w:val="24"/>
        </w:rPr>
        <w:t>IU</w:t>
      </w:r>
      <w:r>
        <w:rPr>
          <w:spacing w:val="-1"/>
          <w:sz w:val="24"/>
        </w:rPr>
        <w:t> </w:t>
      </w:r>
      <w:hyperlink r:id="rId18">
        <w:r>
          <w:rPr>
            <w:color w:val="0562C1"/>
            <w:sz w:val="24"/>
            <w:u w:val="single" w:color="0562C1"/>
          </w:rPr>
          <w:t>Faculty</w:t>
        </w:r>
        <w:r>
          <w:rPr>
            <w:color w:val="0562C1"/>
            <w:spacing w:val="-1"/>
            <w:sz w:val="24"/>
            <w:u w:val="single" w:color="0562C1"/>
          </w:rPr>
          <w:t> </w:t>
        </w:r>
        <w:r>
          <w:rPr>
            <w:color w:val="0562C1"/>
            <w:sz w:val="24"/>
            <w:u w:val="single" w:color="0562C1"/>
          </w:rPr>
          <w:t>Work</w:t>
        </w:r>
      </w:hyperlink>
      <w:r>
        <w:rPr>
          <w:sz w:val="24"/>
        </w:rPr>
        <w:t>:</w:t>
      </w:r>
      <w:r>
        <w:rPr>
          <w:spacing w:val="-1"/>
          <w:sz w:val="24"/>
        </w:rPr>
        <w:t> </w:t>
      </w:r>
      <w:r>
        <w:rPr>
          <w:sz w:val="24"/>
        </w:rPr>
        <w:t>This</w:t>
      </w:r>
      <w:r>
        <w:rPr>
          <w:spacing w:val="-3"/>
          <w:sz w:val="24"/>
        </w:rPr>
        <w:t> </w:t>
      </w:r>
      <w:r>
        <w:rPr>
          <w:sz w:val="24"/>
        </w:rPr>
        <w:t>is a</w:t>
      </w:r>
      <w:r>
        <w:rPr>
          <w:spacing w:val="-3"/>
          <w:sz w:val="24"/>
        </w:rPr>
        <w:t> </w:t>
      </w:r>
      <w:r>
        <w:rPr>
          <w:sz w:val="24"/>
        </w:rPr>
        <w:t>policy</w:t>
      </w:r>
      <w:r>
        <w:rPr>
          <w:spacing w:val="-4"/>
          <w:sz w:val="24"/>
        </w:rPr>
        <w:t> </w:t>
      </w:r>
      <w:r>
        <w:rPr>
          <w:sz w:val="24"/>
        </w:rPr>
        <w:t>that</w:t>
      </w:r>
      <w:r>
        <w:rPr>
          <w:spacing w:val="2"/>
          <w:sz w:val="24"/>
        </w:rPr>
        <w:t> </w:t>
      </w:r>
      <w:r>
        <w:rPr>
          <w:sz w:val="24"/>
        </w:rPr>
        <w:t>governs</w:t>
      </w:r>
      <w:r>
        <w:rPr>
          <w:spacing w:val="-1"/>
          <w:sz w:val="24"/>
        </w:rPr>
        <w:t> </w:t>
      </w:r>
      <w:r>
        <w:rPr>
          <w:sz w:val="24"/>
        </w:rPr>
        <w:t>all</w:t>
      </w:r>
      <w:r>
        <w:rPr>
          <w:spacing w:val="-2"/>
          <w:sz w:val="24"/>
        </w:rPr>
        <w:t> </w:t>
      </w:r>
      <w:r>
        <w:rPr>
          <w:sz w:val="24"/>
        </w:rPr>
        <w:t>faculty</w:t>
      </w:r>
      <w:r>
        <w:rPr>
          <w:spacing w:val="-1"/>
          <w:sz w:val="24"/>
        </w:rPr>
        <w:t> </w:t>
      </w:r>
      <w:r>
        <w:rPr>
          <w:sz w:val="24"/>
        </w:rPr>
        <w:t>and</w:t>
      </w:r>
      <w:r>
        <w:rPr>
          <w:spacing w:val="-2"/>
          <w:sz w:val="24"/>
        </w:rPr>
        <w:t> </w:t>
      </w:r>
      <w:r>
        <w:rPr>
          <w:sz w:val="24"/>
        </w:rPr>
        <w:t>describes</w:t>
      </w:r>
      <w:r>
        <w:rPr>
          <w:spacing w:val="-2"/>
          <w:sz w:val="24"/>
        </w:rPr>
        <w:t> </w:t>
      </w:r>
      <w:r>
        <w:rPr>
          <w:sz w:val="24"/>
        </w:rPr>
        <w:t>how</w:t>
      </w:r>
      <w:r>
        <w:rPr>
          <w:spacing w:val="-2"/>
          <w:sz w:val="24"/>
        </w:rPr>
        <w:t> </w:t>
      </w:r>
      <w:r>
        <w:rPr>
          <w:sz w:val="24"/>
        </w:rPr>
        <w:t>they are</w:t>
      </w:r>
      <w:r>
        <w:rPr>
          <w:spacing w:val="-2"/>
          <w:sz w:val="24"/>
        </w:rPr>
        <w:t> </w:t>
      </w:r>
      <w:r>
        <w:rPr>
          <w:sz w:val="24"/>
        </w:rPr>
        <w:t>to</w:t>
      </w:r>
      <w:r>
        <w:rPr>
          <w:spacing w:val="-1"/>
          <w:sz w:val="24"/>
        </w:rPr>
        <w:t> </w:t>
      </w:r>
      <w:r>
        <w:rPr>
          <w:spacing w:val="-2"/>
          <w:sz w:val="24"/>
        </w:rPr>
        <w:t>work.</w:t>
      </w:r>
    </w:p>
    <w:p>
      <w:pPr>
        <w:pStyle w:val="ListParagraph"/>
        <w:numPr>
          <w:ilvl w:val="0"/>
          <w:numId w:val="12"/>
        </w:numPr>
        <w:tabs>
          <w:tab w:pos="479" w:val="left" w:leader="none"/>
        </w:tabs>
        <w:spacing w:line="240" w:lineRule="auto" w:before="1" w:after="0"/>
        <w:ind w:left="479" w:right="455" w:hanging="360"/>
        <w:jc w:val="left"/>
        <w:rPr>
          <w:rFonts w:ascii="Symbol" w:hAnsi="Symbol"/>
          <w:sz w:val="24"/>
        </w:rPr>
      </w:pPr>
      <w:r>
        <w:rPr>
          <w:sz w:val="24"/>
        </w:rPr>
        <w:t>IUPUI</w:t>
      </w:r>
      <w:r>
        <w:rPr>
          <w:spacing w:val="-3"/>
          <w:sz w:val="24"/>
        </w:rPr>
        <w:t> </w:t>
      </w:r>
      <w:r>
        <w:rPr>
          <w:sz w:val="24"/>
        </w:rPr>
        <w:t>2021-22</w:t>
      </w:r>
      <w:r>
        <w:rPr>
          <w:spacing w:val="-4"/>
          <w:sz w:val="24"/>
        </w:rPr>
        <w:t> </w:t>
      </w:r>
      <w:r>
        <w:rPr>
          <w:sz w:val="24"/>
        </w:rPr>
        <w:t>Promotion</w:t>
      </w:r>
      <w:r>
        <w:rPr>
          <w:spacing w:val="-1"/>
          <w:sz w:val="24"/>
        </w:rPr>
        <w:t> </w:t>
      </w:r>
      <w:r>
        <w:rPr>
          <w:sz w:val="24"/>
        </w:rPr>
        <w:t>and</w:t>
      </w:r>
      <w:r>
        <w:rPr>
          <w:spacing w:val="-4"/>
          <w:sz w:val="24"/>
        </w:rPr>
        <w:t> </w:t>
      </w:r>
      <w:r>
        <w:rPr>
          <w:sz w:val="24"/>
        </w:rPr>
        <w:t>Tenure</w:t>
      </w:r>
      <w:r>
        <w:rPr>
          <w:spacing w:val="-2"/>
          <w:sz w:val="24"/>
        </w:rPr>
        <w:t> </w:t>
      </w:r>
      <w:r>
        <w:rPr>
          <w:sz w:val="24"/>
        </w:rPr>
        <w:t>Guidelines:</w:t>
      </w:r>
      <w:r>
        <w:rPr>
          <w:spacing w:val="40"/>
          <w:sz w:val="24"/>
        </w:rPr>
        <w:t> </w:t>
      </w:r>
      <w:r>
        <w:rPr>
          <w:sz w:val="24"/>
        </w:rPr>
        <w:t>Clinical</w:t>
      </w:r>
      <w:r>
        <w:rPr>
          <w:spacing w:val="-2"/>
          <w:sz w:val="24"/>
        </w:rPr>
        <w:t> </w:t>
      </w:r>
      <w:r>
        <w:rPr>
          <w:sz w:val="24"/>
        </w:rPr>
        <w:t>Faculty</w:t>
      </w:r>
      <w:r>
        <w:rPr>
          <w:spacing w:val="-3"/>
          <w:sz w:val="24"/>
        </w:rPr>
        <w:t> </w:t>
      </w:r>
      <w:r>
        <w:rPr>
          <w:sz w:val="24"/>
        </w:rPr>
        <w:t>should</w:t>
      </w:r>
      <w:r>
        <w:rPr>
          <w:spacing w:val="-1"/>
          <w:sz w:val="24"/>
        </w:rPr>
        <w:t> </w:t>
      </w:r>
      <w:r>
        <w:rPr>
          <w:sz w:val="24"/>
        </w:rPr>
        <w:t>refer</w:t>
      </w:r>
      <w:r>
        <w:rPr>
          <w:spacing w:val="-5"/>
          <w:sz w:val="24"/>
        </w:rPr>
        <w:t> </w:t>
      </w:r>
      <w:r>
        <w:rPr>
          <w:sz w:val="24"/>
        </w:rPr>
        <w:t>to</w:t>
      </w:r>
      <w:r>
        <w:rPr>
          <w:spacing w:val="-4"/>
          <w:sz w:val="24"/>
        </w:rPr>
        <w:t> </w:t>
      </w:r>
      <w:r>
        <w:rPr>
          <w:sz w:val="24"/>
        </w:rPr>
        <w:t>the</w:t>
      </w:r>
      <w:r>
        <w:rPr>
          <w:spacing w:val="-2"/>
          <w:sz w:val="24"/>
        </w:rPr>
        <w:t> </w:t>
      </w:r>
      <w:r>
        <w:rPr>
          <w:sz w:val="24"/>
        </w:rPr>
        <w:t>most recent P&amp;T Guidelines when considering promotion.</w:t>
      </w:r>
    </w:p>
    <w:p>
      <w:pPr>
        <w:pStyle w:val="ListParagraph"/>
        <w:numPr>
          <w:ilvl w:val="0"/>
          <w:numId w:val="12"/>
        </w:numPr>
        <w:tabs>
          <w:tab w:pos="480" w:val="left" w:leader="none"/>
        </w:tabs>
        <w:spacing w:line="242" w:lineRule="auto" w:before="0" w:after="0"/>
        <w:ind w:left="480" w:right="1839" w:hanging="360"/>
        <w:jc w:val="left"/>
        <w:rPr>
          <w:rFonts w:ascii="Symbol" w:hAnsi="Symbol"/>
          <w:sz w:val="24"/>
        </w:rPr>
      </w:pPr>
      <w:r>
        <w:rPr>
          <w:spacing w:val="-2"/>
          <w:sz w:val="24"/>
        </w:rPr>
        <w:t>https://academicaffairs.iupui.edu/AAContent/Html/Media/AAContent/02- PromotionTenure/PromotionAndTenure/ptguidelines-current-year-final.pdf</w:t>
      </w:r>
    </w:p>
    <w:p>
      <w:pPr>
        <w:pStyle w:val="Heading1"/>
        <w:spacing w:line="292" w:lineRule="exact" w:before="288"/>
      </w:pPr>
      <w:r>
        <w:rPr/>
        <w:t>Related</w:t>
      </w:r>
      <w:r>
        <w:rPr>
          <w:spacing w:val="-4"/>
        </w:rPr>
        <w:t> </w:t>
      </w:r>
      <w:r>
        <w:rPr>
          <w:spacing w:val="-2"/>
        </w:rPr>
        <w:t>Policies:</w:t>
      </w:r>
    </w:p>
    <w:p>
      <w:pPr>
        <w:pStyle w:val="ListParagraph"/>
        <w:numPr>
          <w:ilvl w:val="0"/>
          <w:numId w:val="12"/>
        </w:numPr>
        <w:tabs>
          <w:tab w:pos="480" w:val="left" w:leader="none"/>
        </w:tabs>
        <w:spacing w:line="240" w:lineRule="auto" w:before="0" w:after="0"/>
        <w:ind w:left="480" w:right="163" w:hanging="360"/>
        <w:jc w:val="left"/>
        <w:rPr>
          <w:rFonts w:ascii="Symbol" w:hAnsi="Symbol"/>
          <w:sz w:val="24"/>
        </w:rPr>
      </w:pPr>
      <w:hyperlink r:id="rId19">
        <w:r>
          <w:rPr>
            <w:color w:val="0562C1"/>
            <w:sz w:val="24"/>
            <w:u w:val="single" w:color="0562C1"/>
          </w:rPr>
          <w:t>University</w:t>
        </w:r>
        <w:r>
          <w:rPr>
            <w:color w:val="0562C1"/>
            <w:spacing w:val="-3"/>
            <w:sz w:val="24"/>
            <w:u w:val="single" w:color="0562C1"/>
          </w:rPr>
          <w:t> </w:t>
        </w:r>
        <w:r>
          <w:rPr>
            <w:color w:val="0562C1"/>
            <w:sz w:val="24"/>
            <w:u w:val="single" w:color="0562C1"/>
          </w:rPr>
          <w:t>Policy</w:t>
        </w:r>
        <w:r>
          <w:rPr>
            <w:color w:val="0562C1"/>
            <w:spacing w:val="-3"/>
            <w:sz w:val="24"/>
            <w:u w:val="single" w:color="0562C1"/>
          </w:rPr>
          <w:t> </w:t>
        </w:r>
        <w:r>
          <w:rPr>
            <w:color w:val="0562C1"/>
            <w:sz w:val="24"/>
            <w:u w:val="single" w:color="0562C1"/>
          </w:rPr>
          <w:t>ACA-33</w:t>
        </w:r>
      </w:hyperlink>
      <w:r>
        <w:rPr>
          <w:sz w:val="24"/>
        </w:rPr>
        <w:t>:</w:t>
      </w:r>
      <w:r>
        <w:rPr>
          <w:spacing w:val="-4"/>
          <w:sz w:val="24"/>
        </w:rPr>
        <w:t> </w:t>
      </w:r>
      <w:r>
        <w:rPr>
          <w:sz w:val="24"/>
        </w:rPr>
        <w:t>Code</w:t>
      </w:r>
      <w:r>
        <w:rPr>
          <w:spacing w:val="-4"/>
          <w:sz w:val="24"/>
        </w:rPr>
        <w:t> </w:t>
      </w:r>
      <w:r>
        <w:rPr>
          <w:sz w:val="24"/>
        </w:rPr>
        <w:t>of</w:t>
      </w:r>
      <w:r>
        <w:rPr>
          <w:spacing w:val="-4"/>
          <w:sz w:val="24"/>
        </w:rPr>
        <w:t> </w:t>
      </w:r>
      <w:r>
        <w:rPr>
          <w:sz w:val="24"/>
        </w:rPr>
        <w:t>Academic</w:t>
      </w:r>
      <w:r>
        <w:rPr>
          <w:spacing w:val="-6"/>
          <w:sz w:val="24"/>
        </w:rPr>
        <w:t> </w:t>
      </w:r>
      <w:r>
        <w:rPr>
          <w:sz w:val="24"/>
        </w:rPr>
        <w:t>Ethics</w:t>
      </w:r>
      <w:r>
        <w:rPr>
          <w:spacing w:val="-3"/>
          <w:sz w:val="24"/>
        </w:rPr>
        <w:t> </w:t>
      </w:r>
      <w:r>
        <w:rPr>
          <w:sz w:val="24"/>
        </w:rPr>
        <w:t>(Clinical</w:t>
      </w:r>
      <w:r>
        <w:rPr>
          <w:spacing w:val="-2"/>
          <w:sz w:val="24"/>
        </w:rPr>
        <w:t> </w:t>
      </w:r>
      <w:r>
        <w:rPr>
          <w:sz w:val="24"/>
        </w:rPr>
        <w:t>appointments</w:t>
      </w:r>
      <w:r>
        <w:rPr>
          <w:spacing w:val="-5"/>
          <w:sz w:val="24"/>
        </w:rPr>
        <w:t> </w:t>
      </w:r>
      <w:r>
        <w:rPr>
          <w:sz w:val="24"/>
        </w:rPr>
        <w:t>must</w:t>
      </w:r>
      <w:r>
        <w:rPr>
          <w:spacing w:val="-1"/>
          <w:sz w:val="24"/>
        </w:rPr>
        <w:t> </w:t>
      </w:r>
      <w:r>
        <w:rPr>
          <w:sz w:val="24"/>
        </w:rPr>
        <w:t>adhere</w:t>
      </w:r>
      <w:r>
        <w:rPr>
          <w:spacing w:val="-4"/>
          <w:sz w:val="24"/>
        </w:rPr>
        <w:t> </w:t>
      </w:r>
      <w:r>
        <w:rPr>
          <w:sz w:val="24"/>
        </w:rPr>
        <w:t>to</w:t>
      </w:r>
      <w:r>
        <w:rPr>
          <w:spacing w:val="-4"/>
          <w:sz w:val="24"/>
        </w:rPr>
        <w:t> </w:t>
      </w:r>
      <w:r>
        <w:rPr>
          <w:sz w:val="24"/>
        </w:rPr>
        <w:t>this policy as well.)</w:t>
      </w:r>
    </w:p>
    <w:p>
      <w:pPr>
        <w:spacing w:after="0" w:line="240" w:lineRule="auto"/>
        <w:jc w:val="left"/>
        <w:rPr>
          <w:rFonts w:ascii="Symbol" w:hAnsi="Symbol"/>
          <w:sz w:val="24"/>
        </w:rPr>
        <w:sectPr>
          <w:pgSz w:w="12240" w:h="15840"/>
          <w:pgMar w:header="0" w:footer="1712" w:top="1400" w:bottom="1980" w:left="1320" w:right="1180"/>
        </w:sectPr>
      </w:pPr>
    </w:p>
    <w:p>
      <w:pPr>
        <w:spacing w:before="59"/>
        <w:ind w:left="100" w:right="0" w:firstLine="0"/>
        <w:jc w:val="left"/>
        <w:rPr>
          <w:b/>
          <w:sz w:val="28"/>
        </w:rPr>
      </w:pPr>
      <w:r>
        <w:rPr>
          <w:b/>
          <w:sz w:val="28"/>
        </w:rPr>
        <w:t>APPENDIX</w:t>
      </w:r>
      <w:r>
        <w:rPr>
          <w:b/>
          <w:spacing w:val="-9"/>
          <w:sz w:val="28"/>
        </w:rPr>
        <w:t> </w:t>
      </w:r>
      <w:r>
        <w:rPr>
          <w:b/>
          <w:sz w:val="28"/>
        </w:rPr>
        <w:t>2.</w:t>
      </w:r>
      <w:r>
        <w:rPr>
          <w:b/>
          <w:spacing w:val="-8"/>
          <w:sz w:val="28"/>
        </w:rPr>
        <w:t> </w:t>
      </w:r>
      <w:r>
        <w:rPr>
          <w:b/>
          <w:sz w:val="28"/>
        </w:rPr>
        <w:t>Clinical</w:t>
      </w:r>
      <w:r>
        <w:rPr>
          <w:b/>
          <w:spacing w:val="-7"/>
          <w:sz w:val="28"/>
        </w:rPr>
        <w:t> </w:t>
      </w:r>
      <w:r>
        <w:rPr>
          <w:b/>
          <w:sz w:val="28"/>
        </w:rPr>
        <w:t>Faculty</w:t>
      </w:r>
      <w:r>
        <w:rPr>
          <w:b/>
          <w:spacing w:val="-6"/>
          <w:sz w:val="28"/>
        </w:rPr>
        <w:t> </w:t>
      </w:r>
      <w:r>
        <w:rPr>
          <w:b/>
          <w:sz w:val="28"/>
        </w:rPr>
        <w:t>Promotion</w:t>
      </w:r>
      <w:r>
        <w:rPr>
          <w:b/>
          <w:spacing w:val="-5"/>
          <w:sz w:val="28"/>
        </w:rPr>
        <w:t> </w:t>
      </w:r>
      <w:r>
        <w:rPr>
          <w:b/>
          <w:sz w:val="28"/>
        </w:rPr>
        <w:t>and</w:t>
      </w:r>
      <w:r>
        <w:rPr>
          <w:b/>
          <w:spacing w:val="-5"/>
          <w:sz w:val="28"/>
        </w:rPr>
        <w:t> </w:t>
      </w:r>
      <w:r>
        <w:rPr>
          <w:b/>
          <w:sz w:val="28"/>
        </w:rPr>
        <w:t>Scholarship</w:t>
      </w:r>
      <w:r>
        <w:rPr>
          <w:b/>
          <w:spacing w:val="-5"/>
          <w:sz w:val="28"/>
        </w:rPr>
        <w:t> </w:t>
      </w:r>
      <w:r>
        <w:rPr>
          <w:b/>
          <w:sz w:val="28"/>
        </w:rPr>
        <w:t>Matrix,</w:t>
      </w:r>
      <w:r>
        <w:rPr>
          <w:b/>
          <w:spacing w:val="-6"/>
          <w:sz w:val="28"/>
        </w:rPr>
        <w:t> </w:t>
      </w:r>
      <w:r>
        <w:rPr>
          <w:b/>
          <w:sz w:val="28"/>
        </w:rPr>
        <w:t>Kelley</w:t>
      </w:r>
      <w:r>
        <w:rPr>
          <w:b/>
          <w:spacing w:val="-6"/>
          <w:sz w:val="28"/>
        </w:rPr>
        <w:t> </w:t>
      </w:r>
      <w:r>
        <w:rPr>
          <w:b/>
          <w:sz w:val="28"/>
        </w:rPr>
        <w:t>School</w:t>
      </w:r>
      <w:r>
        <w:rPr>
          <w:b/>
          <w:spacing w:val="-5"/>
          <w:sz w:val="28"/>
        </w:rPr>
        <w:t> </w:t>
      </w:r>
      <w:r>
        <w:rPr>
          <w:b/>
          <w:sz w:val="28"/>
        </w:rPr>
        <w:t>of</w:t>
      </w:r>
      <w:r>
        <w:rPr>
          <w:b/>
          <w:spacing w:val="-6"/>
          <w:sz w:val="28"/>
        </w:rPr>
        <w:t> </w:t>
      </w:r>
      <w:r>
        <w:rPr>
          <w:b/>
          <w:sz w:val="28"/>
        </w:rPr>
        <w:t>Business</w:t>
      </w:r>
      <w:r>
        <w:rPr>
          <w:b/>
          <w:spacing w:val="-4"/>
          <w:sz w:val="28"/>
        </w:rPr>
        <w:t> </w:t>
      </w:r>
      <w:r>
        <w:rPr>
          <w:b/>
          <w:spacing w:val="-2"/>
          <w:sz w:val="28"/>
        </w:rPr>
        <w:t>Indianapolis</w:t>
      </w:r>
    </w:p>
    <w:p>
      <w:pPr>
        <w:pStyle w:val="BodyText"/>
        <w:spacing w:before="292"/>
        <w:ind w:left="100"/>
      </w:pPr>
      <w:r>
        <w:rPr/>
        <w:t>This table is offered as a comprehensive, but not exhaustive list of exemplars of dissemination to others. These categories are not intended to be a check list but rather show that types of activities that reflect dissemination to others. Clinical faculty are both academics and professionals. Thus, publicly disseminated and peer review of scholarship (publications, presentations, workshops) may include</w:t>
      </w:r>
      <w:r>
        <w:rPr>
          <w:spacing w:val="-1"/>
        </w:rPr>
        <w:t> </w:t>
      </w:r>
      <w:r>
        <w:rPr/>
        <w:t>both</w:t>
      </w:r>
      <w:r>
        <w:rPr>
          <w:spacing w:val="-1"/>
        </w:rPr>
        <w:t> </w:t>
      </w:r>
      <w:r>
        <w:rPr/>
        <w:t>the</w:t>
      </w:r>
      <w:r>
        <w:rPr>
          <w:spacing w:val="-1"/>
        </w:rPr>
        <w:t> </w:t>
      </w:r>
      <w:r>
        <w:rPr/>
        <w:t>academic community and</w:t>
      </w:r>
      <w:r>
        <w:rPr>
          <w:spacing w:val="-1"/>
        </w:rPr>
        <w:t> </w:t>
      </w:r>
      <w:r>
        <w:rPr/>
        <w:t>the</w:t>
      </w:r>
      <w:r>
        <w:rPr>
          <w:spacing w:val="-1"/>
        </w:rPr>
        <w:t> </w:t>
      </w:r>
      <w:r>
        <w:rPr/>
        <w:t>professional</w:t>
      </w:r>
      <w:r>
        <w:rPr>
          <w:spacing w:val="-2"/>
        </w:rPr>
        <w:t> </w:t>
      </w:r>
      <w:r>
        <w:rPr/>
        <w:t>community with</w:t>
      </w:r>
      <w:r>
        <w:rPr>
          <w:spacing w:val="-1"/>
        </w:rPr>
        <w:t> </w:t>
      </w:r>
      <w:r>
        <w:rPr/>
        <w:t>whom Clinical faculty interact. Examples</w:t>
      </w:r>
      <w:r>
        <w:rPr>
          <w:spacing w:val="-5"/>
        </w:rPr>
        <w:t> </w:t>
      </w:r>
      <w:r>
        <w:rPr/>
        <w:t>of</w:t>
      </w:r>
      <w:r>
        <w:rPr>
          <w:spacing w:val="-1"/>
        </w:rPr>
        <w:t> </w:t>
      </w:r>
      <w:r>
        <w:rPr/>
        <w:t>types of activities</w:t>
      </w:r>
      <w:r>
        <w:rPr>
          <w:spacing w:val="-4"/>
        </w:rPr>
        <w:t> </w:t>
      </w:r>
      <w:r>
        <w:rPr/>
        <w:t>are</w:t>
      </w:r>
      <w:r>
        <w:rPr>
          <w:spacing w:val="-1"/>
        </w:rPr>
        <w:t> </w:t>
      </w:r>
      <w:r>
        <w:rPr/>
        <w:t>shown in</w:t>
      </w:r>
      <w:r>
        <w:rPr>
          <w:spacing w:val="-3"/>
        </w:rPr>
        <w:t> </w:t>
      </w:r>
      <w:r>
        <w:rPr/>
        <w:t>Bold</w:t>
      </w:r>
      <w:r>
        <w:rPr>
          <w:spacing w:val="-3"/>
        </w:rPr>
        <w:t> </w:t>
      </w:r>
      <w:r>
        <w:rPr/>
        <w:t>below.</w:t>
      </w:r>
      <w:r>
        <w:rPr>
          <w:spacing w:val="-2"/>
        </w:rPr>
        <w:t> </w:t>
      </w:r>
      <w:r>
        <w:rPr/>
        <w:t>As</w:t>
      </w:r>
      <w:r>
        <w:rPr>
          <w:spacing w:val="-4"/>
        </w:rPr>
        <w:t> </w:t>
      </w:r>
      <w:r>
        <w:rPr/>
        <w:t>noted</w:t>
      </w:r>
      <w:r>
        <w:rPr>
          <w:spacing w:val="-3"/>
        </w:rPr>
        <w:t> </w:t>
      </w:r>
      <w:r>
        <w:rPr/>
        <w:t>in</w:t>
      </w:r>
      <w:r>
        <w:rPr>
          <w:spacing w:val="-3"/>
        </w:rPr>
        <w:t> </w:t>
      </w:r>
      <w:r>
        <w:rPr/>
        <w:t>the</w:t>
      </w:r>
      <w:r>
        <w:rPr>
          <w:spacing w:val="-3"/>
        </w:rPr>
        <w:t> </w:t>
      </w:r>
      <w:r>
        <w:rPr/>
        <w:t>previous</w:t>
      </w:r>
      <w:r>
        <w:rPr>
          <w:spacing w:val="-2"/>
        </w:rPr>
        <w:t> </w:t>
      </w:r>
      <w:r>
        <w:rPr/>
        <w:t>sections,</w:t>
      </w:r>
      <w:r>
        <w:rPr>
          <w:spacing w:val="-4"/>
        </w:rPr>
        <w:t> </w:t>
      </w:r>
      <w:r>
        <w:rPr/>
        <w:t>academic</w:t>
      </w:r>
      <w:r>
        <w:rPr>
          <w:spacing w:val="-2"/>
        </w:rPr>
        <w:t> </w:t>
      </w:r>
      <w:r>
        <w:rPr/>
        <w:t>and/or</w:t>
      </w:r>
      <w:r>
        <w:rPr>
          <w:spacing w:val="-4"/>
        </w:rPr>
        <w:t> </w:t>
      </w:r>
      <w:r>
        <w:rPr/>
        <w:t>professional</w:t>
      </w:r>
      <w:r>
        <w:rPr>
          <w:spacing w:val="-1"/>
        </w:rPr>
        <w:t> </w:t>
      </w:r>
      <w:r>
        <w:rPr/>
        <w:t>peer-reviewed</w:t>
      </w:r>
      <w:r>
        <w:rPr>
          <w:spacing w:val="-3"/>
        </w:rPr>
        <w:t> </w:t>
      </w:r>
      <w:r>
        <w:rPr/>
        <w:t>scholarship is required for clinical promotion at IUPUI.</w:t>
      </w:r>
    </w:p>
    <w:p>
      <w:pPr>
        <w:pStyle w:val="BodyText"/>
        <w:spacing w:before="50" w:after="1"/>
        <w:rPr>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5512"/>
        <w:gridCol w:w="5939"/>
      </w:tblGrid>
      <w:tr>
        <w:trPr>
          <w:trHeight w:val="313" w:hRule="atLeast"/>
        </w:trPr>
        <w:tc>
          <w:tcPr>
            <w:tcW w:w="986" w:type="dxa"/>
          </w:tcPr>
          <w:p>
            <w:pPr>
              <w:pStyle w:val="TableParagraph"/>
              <w:spacing w:line="292" w:lineRule="exact"/>
              <w:ind w:right="96"/>
              <w:jc w:val="center"/>
              <w:rPr>
                <w:b/>
                <w:sz w:val="24"/>
              </w:rPr>
            </w:pPr>
            <w:r>
              <w:rPr>
                <w:b/>
                <w:spacing w:val="-2"/>
                <w:sz w:val="24"/>
              </w:rPr>
              <w:t>School</w:t>
            </w:r>
          </w:p>
        </w:tc>
        <w:tc>
          <w:tcPr>
            <w:tcW w:w="11451" w:type="dxa"/>
            <w:gridSpan w:val="2"/>
          </w:tcPr>
          <w:p>
            <w:pPr>
              <w:pStyle w:val="TableParagraph"/>
              <w:spacing w:line="292" w:lineRule="exact"/>
              <w:ind w:left="9"/>
              <w:jc w:val="center"/>
              <w:rPr>
                <w:b/>
                <w:sz w:val="24"/>
              </w:rPr>
            </w:pPr>
            <w:r>
              <w:rPr>
                <w:b/>
                <w:sz w:val="24"/>
              </w:rPr>
              <w:t>Representative</w:t>
            </w:r>
            <w:r>
              <w:rPr>
                <w:b/>
                <w:spacing w:val="-5"/>
                <w:sz w:val="24"/>
              </w:rPr>
              <w:t> </w:t>
            </w:r>
            <w:r>
              <w:rPr>
                <w:b/>
                <w:sz w:val="24"/>
              </w:rPr>
              <w:t>Clinical</w:t>
            </w:r>
            <w:r>
              <w:rPr>
                <w:b/>
                <w:spacing w:val="-5"/>
                <w:sz w:val="24"/>
              </w:rPr>
              <w:t> </w:t>
            </w:r>
            <w:r>
              <w:rPr>
                <w:b/>
                <w:sz w:val="24"/>
              </w:rPr>
              <w:t>Faculty</w:t>
            </w:r>
            <w:r>
              <w:rPr>
                <w:b/>
                <w:spacing w:val="-3"/>
                <w:sz w:val="24"/>
              </w:rPr>
              <w:t> </w:t>
            </w:r>
            <w:r>
              <w:rPr>
                <w:b/>
                <w:sz w:val="24"/>
              </w:rPr>
              <w:t>Scholarship</w:t>
            </w:r>
            <w:r>
              <w:rPr>
                <w:b/>
                <w:spacing w:val="-2"/>
                <w:sz w:val="24"/>
              </w:rPr>
              <w:t> </w:t>
            </w:r>
            <w:r>
              <w:rPr>
                <w:b/>
                <w:sz w:val="24"/>
              </w:rPr>
              <w:t>Related</w:t>
            </w:r>
            <w:r>
              <w:rPr>
                <w:b/>
                <w:spacing w:val="-2"/>
                <w:sz w:val="24"/>
              </w:rPr>
              <w:t> </w:t>
            </w:r>
            <w:r>
              <w:rPr>
                <w:b/>
                <w:spacing w:val="-5"/>
                <w:sz w:val="24"/>
              </w:rPr>
              <w:t>To</w:t>
            </w:r>
          </w:p>
        </w:tc>
      </w:tr>
      <w:tr>
        <w:trPr>
          <w:trHeight w:val="314" w:hRule="atLeast"/>
        </w:trPr>
        <w:tc>
          <w:tcPr>
            <w:tcW w:w="986" w:type="dxa"/>
          </w:tcPr>
          <w:p>
            <w:pPr>
              <w:pStyle w:val="TableParagraph"/>
              <w:rPr>
                <w:rFonts w:ascii="Times New Roman"/>
                <w:sz w:val="20"/>
              </w:rPr>
            </w:pPr>
          </w:p>
        </w:tc>
        <w:tc>
          <w:tcPr>
            <w:tcW w:w="5512" w:type="dxa"/>
          </w:tcPr>
          <w:p>
            <w:pPr>
              <w:pStyle w:val="TableParagraph"/>
              <w:spacing w:line="292" w:lineRule="exact"/>
              <w:ind w:left="7"/>
              <w:jc w:val="center"/>
              <w:rPr>
                <w:b/>
                <w:sz w:val="24"/>
              </w:rPr>
            </w:pPr>
            <w:r>
              <w:rPr>
                <w:b/>
                <w:spacing w:val="-2"/>
                <w:sz w:val="24"/>
              </w:rPr>
              <w:t>Teaching</w:t>
            </w:r>
          </w:p>
        </w:tc>
        <w:tc>
          <w:tcPr>
            <w:tcW w:w="5939" w:type="dxa"/>
          </w:tcPr>
          <w:p>
            <w:pPr>
              <w:pStyle w:val="TableParagraph"/>
              <w:spacing w:line="292" w:lineRule="exact"/>
              <w:ind w:left="13"/>
              <w:jc w:val="center"/>
              <w:rPr>
                <w:b/>
                <w:sz w:val="24"/>
              </w:rPr>
            </w:pPr>
            <w:r>
              <w:rPr>
                <w:b/>
                <w:spacing w:val="-2"/>
                <w:sz w:val="24"/>
              </w:rPr>
              <w:t>Service</w:t>
            </w:r>
          </w:p>
        </w:tc>
      </w:tr>
      <w:tr>
        <w:trPr>
          <w:trHeight w:val="4199" w:hRule="atLeast"/>
        </w:trPr>
        <w:tc>
          <w:tcPr>
            <w:tcW w:w="986" w:type="dxa"/>
          </w:tcPr>
          <w:p>
            <w:pPr>
              <w:pStyle w:val="TableParagraph"/>
              <w:spacing w:before="1"/>
              <w:ind w:left="54" w:right="96"/>
              <w:jc w:val="center"/>
              <w:rPr>
                <w:b/>
                <w:sz w:val="20"/>
              </w:rPr>
            </w:pPr>
            <w:r>
              <w:rPr>
                <w:b/>
                <w:spacing w:val="-2"/>
                <w:sz w:val="20"/>
              </w:rPr>
              <w:t>Business</w:t>
            </w:r>
          </w:p>
        </w:tc>
        <w:tc>
          <w:tcPr>
            <w:tcW w:w="5512" w:type="dxa"/>
          </w:tcPr>
          <w:p>
            <w:pPr>
              <w:pStyle w:val="TableParagraph"/>
              <w:spacing w:before="1"/>
              <w:ind w:left="105" w:right="139"/>
              <w:rPr>
                <w:sz w:val="20"/>
              </w:rPr>
            </w:pPr>
            <w:r>
              <w:rPr>
                <w:sz w:val="20"/>
              </w:rPr>
              <w:t>Dissemination occurs at many levels. Unlike tenure track faculty who</w:t>
            </w:r>
            <w:r>
              <w:rPr>
                <w:spacing w:val="-3"/>
                <w:sz w:val="20"/>
              </w:rPr>
              <w:t> </w:t>
            </w:r>
            <w:r>
              <w:rPr>
                <w:sz w:val="20"/>
              </w:rPr>
              <w:t>are</w:t>
            </w:r>
            <w:r>
              <w:rPr>
                <w:spacing w:val="-4"/>
                <w:sz w:val="20"/>
              </w:rPr>
              <w:t> </w:t>
            </w:r>
            <w:r>
              <w:rPr>
                <w:sz w:val="20"/>
              </w:rPr>
              <w:t>expected</w:t>
            </w:r>
            <w:r>
              <w:rPr>
                <w:spacing w:val="-2"/>
                <w:sz w:val="20"/>
              </w:rPr>
              <w:t> </w:t>
            </w:r>
            <w:r>
              <w:rPr>
                <w:sz w:val="20"/>
              </w:rPr>
              <w:t>to</w:t>
            </w:r>
            <w:r>
              <w:rPr>
                <w:spacing w:val="-3"/>
                <w:sz w:val="20"/>
              </w:rPr>
              <w:t> </w:t>
            </w:r>
            <w:r>
              <w:rPr>
                <w:sz w:val="20"/>
              </w:rPr>
              <w:t>meet</w:t>
            </w:r>
            <w:r>
              <w:rPr>
                <w:spacing w:val="-3"/>
                <w:sz w:val="20"/>
              </w:rPr>
              <w:t> </w:t>
            </w:r>
            <w:r>
              <w:rPr>
                <w:sz w:val="20"/>
              </w:rPr>
              <w:t>promotion</w:t>
            </w:r>
            <w:r>
              <w:rPr>
                <w:spacing w:val="-2"/>
                <w:sz w:val="20"/>
              </w:rPr>
              <w:t> </w:t>
            </w:r>
            <w:r>
              <w:rPr>
                <w:sz w:val="20"/>
              </w:rPr>
              <w:t>criteria</w:t>
            </w:r>
            <w:r>
              <w:rPr>
                <w:spacing w:val="-2"/>
                <w:sz w:val="20"/>
              </w:rPr>
              <w:t> </w:t>
            </w:r>
            <w:r>
              <w:rPr>
                <w:sz w:val="20"/>
              </w:rPr>
              <w:t>primarily</w:t>
            </w:r>
            <w:r>
              <w:rPr>
                <w:spacing w:val="-2"/>
                <w:sz w:val="20"/>
              </w:rPr>
              <w:t> </w:t>
            </w:r>
            <w:r>
              <w:rPr>
                <w:sz w:val="20"/>
              </w:rPr>
              <w:t>based</w:t>
            </w:r>
            <w:r>
              <w:rPr>
                <w:spacing w:val="-2"/>
                <w:sz w:val="20"/>
              </w:rPr>
              <w:t> </w:t>
            </w:r>
            <w:r>
              <w:rPr>
                <w:sz w:val="20"/>
              </w:rPr>
              <w:t>on publications in peer reviewed journals recognized for their prominence in the field, clinical faculty are expected to focus on a broader range of activities including presentations, publications in both peer and non-peer reviewed journals, professional publications, books, book chapters, cases, grants, cases,</w:t>
            </w:r>
            <w:r>
              <w:rPr>
                <w:spacing w:val="-4"/>
                <w:sz w:val="20"/>
              </w:rPr>
              <w:t> </w:t>
            </w:r>
            <w:r>
              <w:rPr>
                <w:sz w:val="20"/>
              </w:rPr>
              <w:t>and</w:t>
            </w:r>
            <w:r>
              <w:rPr>
                <w:spacing w:val="-6"/>
                <w:sz w:val="20"/>
              </w:rPr>
              <w:t> </w:t>
            </w:r>
            <w:r>
              <w:rPr>
                <w:sz w:val="20"/>
              </w:rPr>
              <w:t>service</w:t>
            </w:r>
            <w:r>
              <w:rPr>
                <w:spacing w:val="-6"/>
                <w:sz w:val="20"/>
              </w:rPr>
              <w:t> </w:t>
            </w:r>
            <w:r>
              <w:rPr>
                <w:sz w:val="20"/>
              </w:rPr>
              <w:t>learning. Scholarship</w:t>
            </w:r>
            <w:r>
              <w:rPr>
                <w:spacing w:val="-4"/>
                <w:sz w:val="20"/>
              </w:rPr>
              <w:t> </w:t>
            </w:r>
            <w:r>
              <w:rPr>
                <w:sz w:val="20"/>
              </w:rPr>
              <w:t>may</w:t>
            </w:r>
            <w:r>
              <w:rPr>
                <w:spacing w:val="-4"/>
                <w:sz w:val="20"/>
              </w:rPr>
              <w:t> </w:t>
            </w:r>
            <w:r>
              <w:rPr>
                <w:sz w:val="20"/>
              </w:rPr>
              <w:t>include</w:t>
            </w:r>
            <w:r>
              <w:rPr>
                <w:spacing w:val="-6"/>
                <w:sz w:val="20"/>
              </w:rPr>
              <w:t> </w:t>
            </w:r>
            <w:r>
              <w:rPr>
                <w:sz w:val="20"/>
              </w:rPr>
              <w:t>both</w:t>
            </w:r>
            <w:r>
              <w:rPr>
                <w:spacing w:val="-6"/>
                <w:sz w:val="20"/>
              </w:rPr>
              <w:t> </w:t>
            </w:r>
            <w:r>
              <w:rPr>
                <w:sz w:val="20"/>
              </w:rPr>
              <w:t>quality academic and professional peer reviewed publications. Clinical faculty may also focus their scholarship on disciplinary scholarship as well as pedagogical scholarship. The different ways in which clinical faculty may choose to engage in the dissemination of their scholarship are described below.</w:t>
            </w:r>
          </w:p>
          <w:p>
            <w:pPr>
              <w:pStyle w:val="TableParagraph"/>
              <w:ind w:left="105" w:right="139"/>
              <w:rPr>
                <w:sz w:val="20"/>
              </w:rPr>
            </w:pPr>
            <w:r>
              <w:rPr>
                <w:sz w:val="20"/>
              </w:rPr>
              <w:t>Dissemination is evaluated based on its rigor and contribution; thus,</w:t>
            </w:r>
            <w:r>
              <w:rPr>
                <w:spacing w:val="-7"/>
                <w:sz w:val="20"/>
              </w:rPr>
              <w:t> </w:t>
            </w:r>
            <w:r>
              <w:rPr>
                <w:sz w:val="20"/>
              </w:rPr>
              <w:t>significantly</w:t>
            </w:r>
            <w:r>
              <w:rPr>
                <w:spacing w:val="-5"/>
                <w:sz w:val="20"/>
              </w:rPr>
              <w:t> </w:t>
            </w:r>
            <w:r>
              <w:rPr>
                <w:sz w:val="20"/>
              </w:rPr>
              <w:t>greater</w:t>
            </w:r>
            <w:r>
              <w:rPr>
                <w:spacing w:val="-6"/>
                <w:sz w:val="20"/>
              </w:rPr>
              <w:t> </w:t>
            </w:r>
            <w:r>
              <w:rPr>
                <w:sz w:val="20"/>
              </w:rPr>
              <w:t>weight</w:t>
            </w:r>
            <w:r>
              <w:rPr>
                <w:spacing w:val="-6"/>
                <w:sz w:val="20"/>
              </w:rPr>
              <w:t> </w:t>
            </w:r>
            <w:r>
              <w:rPr>
                <w:sz w:val="20"/>
              </w:rPr>
              <w:t>is</w:t>
            </w:r>
            <w:r>
              <w:rPr>
                <w:spacing w:val="-5"/>
                <w:sz w:val="20"/>
              </w:rPr>
              <w:t> </w:t>
            </w:r>
            <w:r>
              <w:rPr>
                <w:sz w:val="20"/>
              </w:rPr>
              <w:t>placed</w:t>
            </w:r>
            <w:r>
              <w:rPr>
                <w:spacing w:val="-5"/>
                <w:sz w:val="20"/>
              </w:rPr>
              <w:t> </w:t>
            </w:r>
            <w:r>
              <w:rPr>
                <w:sz w:val="20"/>
              </w:rPr>
              <w:t>on</w:t>
            </w:r>
            <w:r>
              <w:rPr>
                <w:spacing w:val="-5"/>
                <w:sz w:val="20"/>
              </w:rPr>
              <w:t> </w:t>
            </w:r>
            <w:r>
              <w:rPr>
                <w:sz w:val="20"/>
              </w:rPr>
              <w:t>academically</w:t>
            </w:r>
            <w:r>
              <w:rPr>
                <w:spacing w:val="-5"/>
                <w:sz w:val="20"/>
              </w:rPr>
              <w:t> </w:t>
            </w:r>
            <w:r>
              <w:rPr>
                <w:sz w:val="20"/>
              </w:rPr>
              <w:t>peer- reviewed scholarship.</w:t>
            </w:r>
          </w:p>
        </w:tc>
        <w:tc>
          <w:tcPr>
            <w:tcW w:w="5939" w:type="dxa"/>
          </w:tcPr>
          <w:p>
            <w:pPr>
              <w:pStyle w:val="TableParagraph"/>
              <w:spacing w:before="1"/>
              <w:ind w:left="108" w:right="144"/>
              <w:rPr>
                <w:sz w:val="20"/>
              </w:rPr>
            </w:pPr>
            <w:r>
              <w:rPr>
                <w:sz w:val="20"/>
              </w:rPr>
              <w:t>Dissemination occurs at many levels. Unlike tenure track faculty who are expected to meet promotion criteria primarily based on publications in peer reviewed journals recognized for their prominence in the field, clinical faculty are expected to focus on a broader range activities including presentations, publications in both peer and non-peer reviewed journals, professional publications, grants, serving on boards, conducting workshops, service learning, and running or establishing programs. The different ways in which clinical faculty may choose to engage in the dissemination of their scholarship</w:t>
            </w:r>
            <w:r>
              <w:rPr>
                <w:spacing w:val="-4"/>
                <w:sz w:val="20"/>
              </w:rPr>
              <w:t> </w:t>
            </w:r>
            <w:r>
              <w:rPr>
                <w:sz w:val="20"/>
              </w:rPr>
              <w:t>are</w:t>
            </w:r>
            <w:r>
              <w:rPr>
                <w:spacing w:val="-6"/>
                <w:sz w:val="20"/>
              </w:rPr>
              <w:t> </w:t>
            </w:r>
            <w:r>
              <w:rPr>
                <w:sz w:val="20"/>
              </w:rPr>
              <w:t>described</w:t>
            </w:r>
            <w:r>
              <w:rPr>
                <w:spacing w:val="-4"/>
                <w:sz w:val="20"/>
              </w:rPr>
              <w:t> </w:t>
            </w:r>
            <w:r>
              <w:rPr>
                <w:sz w:val="20"/>
              </w:rPr>
              <w:t>below.</w:t>
            </w:r>
            <w:r>
              <w:rPr>
                <w:spacing w:val="-5"/>
                <w:sz w:val="20"/>
              </w:rPr>
              <w:t> </w:t>
            </w:r>
            <w:r>
              <w:rPr>
                <w:sz w:val="20"/>
              </w:rPr>
              <w:t>Dissemination</w:t>
            </w:r>
            <w:r>
              <w:rPr>
                <w:spacing w:val="-4"/>
                <w:sz w:val="20"/>
              </w:rPr>
              <w:t> </w:t>
            </w:r>
            <w:r>
              <w:rPr>
                <w:sz w:val="20"/>
              </w:rPr>
              <w:t>is</w:t>
            </w:r>
            <w:r>
              <w:rPr>
                <w:spacing w:val="-4"/>
                <w:sz w:val="20"/>
              </w:rPr>
              <w:t> </w:t>
            </w:r>
            <w:r>
              <w:rPr>
                <w:sz w:val="20"/>
              </w:rPr>
              <w:t>evaluated</w:t>
            </w:r>
            <w:r>
              <w:rPr>
                <w:spacing w:val="-4"/>
                <w:sz w:val="20"/>
              </w:rPr>
              <w:t> </w:t>
            </w:r>
            <w:r>
              <w:rPr>
                <w:sz w:val="20"/>
              </w:rPr>
              <w:t>based</w:t>
            </w:r>
            <w:r>
              <w:rPr>
                <w:spacing w:val="-4"/>
                <w:sz w:val="20"/>
              </w:rPr>
              <w:t> </w:t>
            </w:r>
            <w:r>
              <w:rPr>
                <w:sz w:val="20"/>
              </w:rPr>
              <w:t>on its rigor and contribution; thus, significantly greater weight is placed on academically peer-reviewed scholarship.</w:t>
            </w:r>
          </w:p>
        </w:tc>
      </w:tr>
    </w:tbl>
    <w:p>
      <w:pPr>
        <w:spacing w:after="0"/>
        <w:rPr>
          <w:sz w:val="20"/>
        </w:rPr>
        <w:sectPr>
          <w:footerReference w:type="default" r:id="rId20"/>
          <w:pgSz w:w="15840" w:h="12240" w:orient="landscape"/>
          <w:pgMar w:header="0" w:footer="1783" w:top="1380" w:bottom="1980" w:left="1340" w:right="1520"/>
        </w:sectPr>
      </w:pPr>
    </w:p>
    <w:p>
      <w:pPr>
        <w:pStyle w:val="BodyText"/>
        <w:spacing w:before="11"/>
        <w:rPr>
          <w:sz w:val="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5488"/>
        <w:gridCol w:w="5963"/>
      </w:tblGrid>
      <w:tr>
        <w:trPr>
          <w:trHeight w:val="2197" w:hRule="atLeast"/>
        </w:trPr>
        <w:tc>
          <w:tcPr>
            <w:tcW w:w="986" w:type="dxa"/>
          </w:tcPr>
          <w:p>
            <w:pPr>
              <w:pStyle w:val="TableParagraph"/>
              <w:rPr>
                <w:rFonts w:ascii="Times New Roman"/>
                <w:sz w:val="18"/>
              </w:rPr>
            </w:pPr>
          </w:p>
        </w:tc>
        <w:tc>
          <w:tcPr>
            <w:tcW w:w="5488" w:type="dxa"/>
          </w:tcPr>
          <w:p>
            <w:pPr>
              <w:pStyle w:val="TableParagraph"/>
              <w:spacing w:before="1"/>
              <w:ind w:left="105" w:right="106"/>
              <w:rPr>
                <w:sz w:val="20"/>
              </w:rPr>
            </w:pPr>
            <w:r>
              <w:rPr>
                <w:b/>
                <w:sz w:val="20"/>
              </w:rPr>
              <w:t>Presentations </w:t>
            </w:r>
            <w:r>
              <w:rPr>
                <w:sz w:val="20"/>
              </w:rPr>
              <w:t>– Clinical faculty members will make</w:t>
            </w:r>
            <w:r>
              <w:rPr>
                <w:sz w:val="20"/>
              </w:rPr>
              <w:t> presentations related to pedagogical techniques or application</w:t>
            </w:r>
            <w:r>
              <w:rPr>
                <w:spacing w:val="40"/>
                <w:sz w:val="20"/>
              </w:rPr>
              <w:t> </w:t>
            </w:r>
            <w:r>
              <w:rPr>
                <w:sz w:val="20"/>
              </w:rPr>
              <w:t>of discipline specific material related to the faculty members teaching. Clinical faculty members engage largely in departmental</w:t>
            </w:r>
            <w:r>
              <w:rPr>
                <w:spacing w:val="-3"/>
                <w:sz w:val="20"/>
              </w:rPr>
              <w:t> </w:t>
            </w:r>
            <w:r>
              <w:rPr>
                <w:sz w:val="20"/>
              </w:rPr>
              <w:t>seminars</w:t>
            </w:r>
            <w:r>
              <w:rPr>
                <w:spacing w:val="-2"/>
                <w:sz w:val="20"/>
              </w:rPr>
              <w:t> </w:t>
            </w:r>
            <w:r>
              <w:rPr>
                <w:sz w:val="20"/>
              </w:rPr>
              <w:t>and</w:t>
            </w:r>
            <w:r>
              <w:rPr>
                <w:spacing w:val="-2"/>
                <w:sz w:val="20"/>
              </w:rPr>
              <w:t> </w:t>
            </w:r>
            <w:r>
              <w:rPr>
                <w:sz w:val="20"/>
              </w:rPr>
              <w:t>local/regional/national</w:t>
            </w:r>
            <w:r>
              <w:rPr>
                <w:spacing w:val="-3"/>
                <w:sz w:val="20"/>
              </w:rPr>
              <w:t> </w:t>
            </w:r>
            <w:r>
              <w:rPr>
                <w:sz w:val="20"/>
              </w:rPr>
              <w:t>conferences. These</w:t>
            </w:r>
            <w:r>
              <w:rPr>
                <w:spacing w:val="-4"/>
                <w:sz w:val="20"/>
              </w:rPr>
              <w:t> </w:t>
            </w:r>
            <w:r>
              <w:rPr>
                <w:sz w:val="20"/>
              </w:rPr>
              <w:t>may</w:t>
            </w:r>
            <w:r>
              <w:rPr>
                <w:spacing w:val="-2"/>
                <w:sz w:val="20"/>
              </w:rPr>
              <w:t> </w:t>
            </w:r>
            <w:r>
              <w:rPr>
                <w:sz w:val="20"/>
              </w:rPr>
              <w:t>include</w:t>
            </w:r>
            <w:r>
              <w:rPr>
                <w:spacing w:val="-4"/>
                <w:sz w:val="20"/>
              </w:rPr>
              <w:t> </w:t>
            </w:r>
            <w:r>
              <w:rPr>
                <w:sz w:val="20"/>
              </w:rPr>
              <w:t>invited</w:t>
            </w:r>
            <w:r>
              <w:rPr>
                <w:spacing w:val="-2"/>
                <w:sz w:val="20"/>
              </w:rPr>
              <w:t> </w:t>
            </w:r>
            <w:r>
              <w:rPr>
                <w:sz w:val="20"/>
              </w:rPr>
              <w:t>presentations</w:t>
            </w:r>
            <w:r>
              <w:rPr>
                <w:spacing w:val="-2"/>
                <w:sz w:val="20"/>
              </w:rPr>
              <w:t> </w:t>
            </w:r>
            <w:r>
              <w:rPr>
                <w:sz w:val="20"/>
              </w:rPr>
              <w:t>by</w:t>
            </w:r>
            <w:r>
              <w:rPr>
                <w:spacing w:val="-2"/>
                <w:sz w:val="20"/>
              </w:rPr>
              <w:t> </w:t>
            </w:r>
            <w:r>
              <w:rPr>
                <w:sz w:val="20"/>
              </w:rPr>
              <w:t>companies,</w:t>
            </w:r>
            <w:r>
              <w:rPr>
                <w:spacing w:val="-2"/>
                <w:sz w:val="20"/>
              </w:rPr>
              <w:t> </w:t>
            </w:r>
            <w:r>
              <w:rPr>
                <w:sz w:val="20"/>
              </w:rPr>
              <w:t>colleges, or</w:t>
            </w:r>
            <w:r>
              <w:rPr>
                <w:spacing w:val="-5"/>
                <w:sz w:val="20"/>
              </w:rPr>
              <w:t> </w:t>
            </w:r>
            <w:r>
              <w:rPr>
                <w:sz w:val="20"/>
              </w:rPr>
              <w:t>professional</w:t>
            </w:r>
            <w:r>
              <w:rPr>
                <w:spacing w:val="-5"/>
                <w:sz w:val="20"/>
              </w:rPr>
              <w:t> </w:t>
            </w:r>
            <w:r>
              <w:rPr>
                <w:sz w:val="20"/>
              </w:rPr>
              <w:t>organizations.</w:t>
            </w:r>
            <w:r>
              <w:rPr>
                <w:spacing w:val="34"/>
                <w:sz w:val="20"/>
              </w:rPr>
              <w:t> </w:t>
            </w:r>
            <w:r>
              <w:rPr>
                <w:sz w:val="20"/>
              </w:rPr>
              <w:t>Some</w:t>
            </w:r>
            <w:r>
              <w:rPr>
                <w:spacing w:val="-6"/>
                <w:sz w:val="20"/>
              </w:rPr>
              <w:t> </w:t>
            </w:r>
            <w:r>
              <w:rPr>
                <w:sz w:val="20"/>
              </w:rPr>
              <w:t>presentations</w:t>
            </w:r>
            <w:r>
              <w:rPr>
                <w:spacing w:val="-4"/>
                <w:sz w:val="20"/>
              </w:rPr>
              <w:t> </w:t>
            </w:r>
            <w:r>
              <w:rPr>
                <w:sz w:val="20"/>
              </w:rPr>
              <w:t>may</w:t>
            </w:r>
            <w:r>
              <w:rPr>
                <w:spacing w:val="-4"/>
                <w:sz w:val="20"/>
              </w:rPr>
              <w:t> </w:t>
            </w:r>
            <w:r>
              <w:rPr>
                <w:sz w:val="20"/>
              </w:rPr>
              <w:t>be</w:t>
            </w:r>
            <w:r>
              <w:rPr>
                <w:spacing w:val="-6"/>
                <w:sz w:val="20"/>
              </w:rPr>
              <w:t> </w:t>
            </w:r>
            <w:r>
              <w:rPr>
                <w:sz w:val="20"/>
              </w:rPr>
              <w:t>made at national and international conferences.</w:t>
            </w:r>
          </w:p>
        </w:tc>
        <w:tc>
          <w:tcPr>
            <w:tcW w:w="5963" w:type="dxa"/>
          </w:tcPr>
          <w:p>
            <w:pPr>
              <w:pStyle w:val="TableParagraph"/>
              <w:spacing w:before="1"/>
              <w:ind w:left="132" w:right="355"/>
              <w:rPr>
                <w:sz w:val="20"/>
              </w:rPr>
            </w:pPr>
            <w:r>
              <w:rPr>
                <w:b/>
                <w:sz w:val="20"/>
              </w:rPr>
              <w:t>Presentations </w:t>
            </w:r>
            <w:r>
              <w:rPr>
                <w:sz w:val="20"/>
              </w:rPr>
              <w:t>– Clinical faculty members will make presentations related to their service through participation in a center, colleges, non-profit or industry. Clinical faculty members engage largely in departmental seminars and local/regional/national conferences. These</w:t>
            </w:r>
            <w:r>
              <w:rPr>
                <w:spacing w:val="-6"/>
                <w:sz w:val="20"/>
              </w:rPr>
              <w:t> </w:t>
            </w:r>
            <w:r>
              <w:rPr>
                <w:sz w:val="20"/>
              </w:rPr>
              <w:t>may</w:t>
            </w:r>
            <w:r>
              <w:rPr>
                <w:spacing w:val="-5"/>
                <w:sz w:val="20"/>
              </w:rPr>
              <w:t> </w:t>
            </w:r>
            <w:r>
              <w:rPr>
                <w:sz w:val="20"/>
              </w:rPr>
              <w:t>include</w:t>
            </w:r>
            <w:r>
              <w:rPr>
                <w:spacing w:val="-6"/>
                <w:sz w:val="20"/>
              </w:rPr>
              <w:t> </w:t>
            </w:r>
            <w:r>
              <w:rPr>
                <w:sz w:val="20"/>
              </w:rPr>
              <w:t>invited</w:t>
            </w:r>
            <w:r>
              <w:rPr>
                <w:spacing w:val="-5"/>
                <w:sz w:val="20"/>
              </w:rPr>
              <w:t> </w:t>
            </w:r>
            <w:r>
              <w:rPr>
                <w:sz w:val="20"/>
              </w:rPr>
              <w:t>presentations</w:t>
            </w:r>
            <w:r>
              <w:rPr>
                <w:spacing w:val="-5"/>
                <w:sz w:val="20"/>
              </w:rPr>
              <w:t> </w:t>
            </w:r>
            <w:r>
              <w:rPr>
                <w:sz w:val="20"/>
              </w:rPr>
              <w:t>by</w:t>
            </w:r>
            <w:r>
              <w:rPr>
                <w:spacing w:val="-5"/>
                <w:sz w:val="20"/>
              </w:rPr>
              <w:t> </w:t>
            </w:r>
            <w:r>
              <w:rPr>
                <w:sz w:val="20"/>
              </w:rPr>
              <w:t>companies,</w:t>
            </w:r>
            <w:r>
              <w:rPr>
                <w:spacing w:val="-5"/>
                <w:sz w:val="20"/>
              </w:rPr>
              <w:t> </w:t>
            </w:r>
            <w:r>
              <w:rPr>
                <w:sz w:val="20"/>
              </w:rPr>
              <w:t>colleges,</w:t>
            </w:r>
            <w:r>
              <w:rPr>
                <w:spacing w:val="-5"/>
                <w:sz w:val="20"/>
              </w:rPr>
              <w:t> </w:t>
            </w:r>
            <w:r>
              <w:rPr>
                <w:sz w:val="20"/>
              </w:rPr>
              <w:t>or professional organizations.</w:t>
            </w:r>
            <w:r>
              <w:rPr>
                <w:spacing w:val="40"/>
                <w:sz w:val="20"/>
              </w:rPr>
              <w:t> </w:t>
            </w:r>
            <w:r>
              <w:rPr>
                <w:sz w:val="20"/>
              </w:rPr>
              <w:t>Some presentations may be made at national and international conferences.</w:t>
            </w:r>
          </w:p>
        </w:tc>
      </w:tr>
      <w:tr>
        <w:trPr>
          <w:trHeight w:val="6422" w:hRule="atLeast"/>
        </w:trPr>
        <w:tc>
          <w:tcPr>
            <w:tcW w:w="986" w:type="dxa"/>
          </w:tcPr>
          <w:p>
            <w:pPr>
              <w:pStyle w:val="TableParagraph"/>
              <w:rPr>
                <w:rFonts w:ascii="Times New Roman"/>
                <w:sz w:val="18"/>
              </w:rPr>
            </w:pPr>
          </w:p>
        </w:tc>
        <w:tc>
          <w:tcPr>
            <w:tcW w:w="5488" w:type="dxa"/>
          </w:tcPr>
          <w:p>
            <w:pPr>
              <w:pStyle w:val="TableParagraph"/>
              <w:spacing w:before="1"/>
              <w:ind w:left="105" w:right="124"/>
              <w:rPr>
                <w:sz w:val="20"/>
              </w:rPr>
            </w:pPr>
            <w:r>
              <w:rPr>
                <w:b/>
                <w:sz w:val="20"/>
              </w:rPr>
              <w:t>Publications </w:t>
            </w:r>
            <w:r>
              <w:rPr>
                <w:sz w:val="20"/>
              </w:rPr>
              <w:t>–The expectation is that IUPUI clinical faculty members will engage in scholarly activity and disseminate evidence of that activity, and some of the scholarly activity will lead to publications.</w:t>
            </w:r>
            <w:r>
              <w:rPr>
                <w:spacing w:val="40"/>
                <w:sz w:val="20"/>
              </w:rPr>
              <w:t> </w:t>
            </w:r>
            <w:r>
              <w:rPr>
                <w:sz w:val="20"/>
              </w:rPr>
              <w:t>Because the teaching load and service engagement</w:t>
            </w:r>
            <w:r>
              <w:rPr>
                <w:spacing w:val="-6"/>
                <w:sz w:val="20"/>
              </w:rPr>
              <w:t> </w:t>
            </w:r>
            <w:r>
              <w:rPr>
                <w:sz w:val="20"/>
              </w:rPr>
              <w:t>load</w:t>
            </w:r>
            <w:r>
              <w:rPr>
                <w:spacing w:val="-5"/>
                <w:sz w:val="20"/>
              </w:rPr>
              <w:t> </w:t>
            </w:r>
            <w:r>
              <w:rPr>
                <w:sz w:val="20"/>
              </w:rPr>
              <w:t>for</w:t>
            </w:r>
            <w:r>
              <w:rPr>
                <w:spacing w:val="-6"/>
                <w:sz w:val="20"/>
              </w:rPr>
              <w:t> </w:t>
            </w:r>
            <w:r>
              <w:rPr>
                <w:sz w:val="20"/>
              </w:rPr>
              <w:t>clinical</w:t>
            </w:r>
            <w:r>
              <w:rPr>
                <w:spacing w:val="-4"/>
                <w:sz w:val="20"/>
              </w:rPr>
              <w:t> </w:t>
            </w:r>
            <w:r>
              <w:rPr>
                <w:sz w:val="20"/>
              </w:rPr>
              <w:t>faculty</w:t>
            </w:r>
            <w:r>
              <w:rPr>
                <w:spacing w:val="-5"/>
                <w:sz w:val="20"/>
              </w:rPr>
              <w:t> </w:t>
            </w:r>
            <w:r>
              <w:rPr>
                <w:sz w:val="20"/>
              </w:rPr>
              <w:t>are</w:t>
            </w:r>
            <w:r>
              <w:rPr>
                <w:spacing w:val="-6"/>
                <w:sz w:val="20"/>
              </w:rPr>
              <w:t> </w:t>
            </w:r>
            <w:r>
              <w:rPr>
                <w:sz w:val="20"/>
              </w:rPr>
              <w:t>higher</w:t>
            </w:r>
            <w:r>
              <w:rPr>
                <w:spacing w:val="-6"/>
                <w:sz w:val="20"/>
              </w:rPr>
              <w:t> </w:t>
            </w:r>
            <w:r>
              <w:rPr>
                <w:sz w:val="20"/>
              </w:rPr>
              <w:t>than</w:t>
            </w:r>
            <w:r>
              <w:rPr>
                <w:spacing w:val="-5"/>
                <w:sz w:val="20"/>
              </w:rPr>
              <w:t> </w:t>
            </w:r>
            <w:r>
              <w:rPr>
                <w:sz w:val="20"/>
              </w:rPr>
              <w:t>tenure-track faculty, the numbers of publications should be fewer than that expected for tenure-probationary faculty, and a wider array of outlets should be considered. In each case, evidence of greater rigor, readership, or audience dissemination will be viewed favorably; however, this emphasis should not discourage specialization.</w:t>
            </w:r>
            <w:r>
              <w:rPr>
                <w:spacing w:val="40"/>
                <w:sz w:val="20"/>
              </w:rPr>
              <w:t> </w:t>
            </w:r>
            <w:r>
              <w:rPr>
                <w:sz w:val="20"/>
              </w:rPr>
              <w:t>Publications may include:</w:t>
            </w:r>
          </w:p>
          <w:p>
            <w:pPr>
              <w:pStyle w:val="TableParagraph"/>
              <w:numPr>
                <w:ilvl w:val="0"/>
                <w:numId w:val="13"/>
              </w:numPr>
              <w:tabs>
                <w:tab w:pos="825" w:val="left" w:leader="none"/>
              </w:tabs>
              <w:spacing w:line="240" w:lineRule="auto" w:before="0" w:after="0"/>
              <w:ind w:left="825" w:right="230" w:hanging="360"/>
              <w:jc w:val="left"/>
              <w:rPr>
                <w:sz w:val="20"/>
              </w:rPr>
            </w:pPr>
            <w:r>
              <w:rPr>
                <w:sz w:val="20"/>
              </w:rPr>
              <w:t>Journal</w:t>
            </w:r>
            <w:r>
              <w:rPr>
                <w:spacing w:val="-6"/>
                <w:sz w:val="20"/>
              </w:rPr>
              <w:t> </w:t>
            </w:r>
            <w:r>
              <w:rPr>
                <w:sz w:val="20"/>
              </w:rPr>
              <w:t>articles</w:t>
            </w:r>
            <w:r>
              <w:rPr>
                <w:spacing w:val="-6"/>
                <w:sz w:val="20"/>
              </w:rPr>
              <w:t> </w:t>
            </w:r>
            <w:r>
              <w:rPr>
                <w:sz w:val="20"/>
              </w:rPr>
              <w:t>(peer</w:t>
            </w:r>
            <w:r>
              <w:rPr>
                <w:spacing w:val="-6"/>
                <w:sz w:val="20"/>
              </w:rPr>
              <w:t> </w:t>
            </w:r>
            <w:r>
              <w:rPr>
                <w:sz w:val="20"/>
              </w:rPr>
              <w:t>or</w:t>
            </w:r>
            <w:r>
              <w:rPr>
                <w:spacing w:val="-6"/>
                <w:sz w:val="20"/>
              </w:rPr>
              <w:t> </w:t>
            </w:r>
            <w:r>
              <w:rPr>
                <w:sz w:val="20"/>
              </w:rPr>
              <w:t>non-peer</w:t>
            </w:r>
            <w:r>
              <w:rPr>
                <w:spacing w:val="-6"/>
                <w:sz w:val="20"/>
              </w:rPr>
              <w:t> </w:t>
            </w:r>
            <w:r>
              <w:rPr>
                <w:sz w:val="20"/>
              </w:rPr>
              <w:t>reviewed)</w:t>
            </w:r>
            <w:r>
              <w:rPr>
                <w:spacing w:val="-6"/>
                <w:sz w:val="20"/>
              </w:rPr>
              <w:t> </w:t>
            </w:r>
            <w:r>
              <w:rPr>
                <w:sz w:val="20"/>
              </w:rPr>
              <w:t>related</w:t>
            </w:r>
            <w:r>
              <w:rPr>
                <w:spacing w:val="-6"/>
                <w:sz w:val="20"/>
              </w:rPr>
              <w:t> </w:t>
            </w:r>
            <w:r>
              <w:rPr>
                <w:sz w:val="20"/>
              </w:rPr>
              <w:t>to the discipline taught by the faculty member</w:t>
            </w:r>
          </w:p>
          <w:p>
            <w:pPr>
              <w:pStyle w:val="TableParagraph"/>
              <w:numPr>
                <w:ilvl w:val="0"/>
                <w:numId w:val="13"/>
              </w:numPr>
              <w:tabs>
                <w:tab w:pos="825" w:val="left" w:leader="none"/>
              </w:tabs>
              <w:spacing w:line="240" w:lineRule="auto" w:before="0" w:after="0"/>
              <w:ind w:left="825" w:right="292" w:hanging="360"/>
              <w:jc w:val="left"/>
              <w:rPr>
                <w:sz w:val="20"/>
              </w:rPr>
            </w:pPr>
            <w:r>
              <w:rPr>
                <w:sz w:val="20"/>
              </w:rPr>
              <w:t>Cases related to the discipline taught by the faculty member.</w:t>
            </w:r>
            <w:r>
              <w:rPr>
                <w:spacing w:val="35"/>
                <w:sz w:val="20"/>
              </w:rPr>
              <w:t> </w:t>
            </w:r>
            <w:r>
              <w:rPr>
                <w:sz w:val="20"/>
              </w:rPr>
              <w:t>Cases</w:t>
            </w:r>
            <w:r>
              <w:rPr>
                <w:spacing w:val="-5"/>
                <w:sz w:val="20"/>
              </w:rPr>
              <w:t> </w:t>
            </w:r>
            <w:r>
              <w:rPr>
                <w:sz w:val="20"/>
              </w:rPr>
              <w:t>may</w:t>
            </w:r>
            <w:r>
              <w:rPr>
                <w:spacing w:val="-5"/>
                <w:sz w:val="20"/>
              </w:rPr>
              <w:t> </w:t>
            </w:r>
            <w:r>
              <w:rPr>
                <w:sz w:val="20"/>
              </w:rPr>
              <w:t>be</w:t>
            </w:r>
            <w:r>
              <w:rPr>
                <w:spacing w:val="-6"/>
                <w:sz w:val="20"/>
              </w:rPr>
              <w:t> </w:t>
            </w:r>
            <w:r>
              <w:rPr>
                <w:sz w:val="20"/>
              </w:rPr>
              <w:t>on</w:t>
            </w:r>
            <w:r>
              <w:rPr>
                <w:spacing w:val="-5"/>
                <w:sz w:val="20"/>
              </w:rPr>
              <w:t> </w:t>
            </w:r>
            <w:r>
              <w:rPr>
                <w:sz w:val="20"/>
              </w:rPr>
              <w:t>local</w:t>
            </w:r>
            <w:r>
              <w:rPr>
                <w:spacing w:val="-6"/>
                <w:sz w:val="20"/>
              </w:rPr>
              <w:t> </w:t>
            </w:r>
            <w:r>
              <w:rPr>
                <w:sz w:val="20"/>
              </w:rPr>
              <w:t>companies,</w:t>
            </w:r>
            <w:r>
              <w:rPr>
                <w:spacing w:val="-5"/>
                <w:sz w:val="20"/>
              </w:rPr>
              <w:t> </w:t>
            </w:r>
            <w:r>
              <w:rPr>
                <w:sz w:val="20"/>
              </w:rPr>
              <w:t>provided primarily to our students or to national audiences.</w:t>
            </w:r>
          </w:p>
          <w:p>
            <w:pPr>
              <w:pStyle w:val="TableParagraph"/>
              <w:numPr>
                <w:ilvl w:val="0"/>
                <w:numId w:val="13"/>
              </w:numPr>
              <w:tabs>
                <w:tab w:pos="825" w:val="left" w:leader="none"/>
              </w:tabs>
              <w:spacing w:line="253" w:lineRule="exact" w:before="0" w:after="0"/>
              <w:ind w:left="825" w:right="0" w:hanging="360"/>
              <w:jc w:val="left"/>
              <w:rPr>
                <w:sz w:val="20"/>
              </w:rPr>
            </w:pPr>
            <w:r>
              <w:rPr>
                <w:sz w:val="20"/>
              </w:rPr>
              <w:t>Textbooks</w:t>
            </w:r>
            <w:r>
              <w:rPr>
                <w:spacing w:val="-5"/>
                <w:sz w:val="20"/>
              </w:rPr>
              <w:t> </w:t>
            </w:r>
            <w:r>
              <w:rPr>
                <w:sz w:val="20"/>
              </w:rPr>
              <w:t>or</w:t>
            </w:r>
            <w:r>
              <w:rPr>
                <w:spacing w:val="-5"/>
                <w:sz w:val="20"/>
              </w:rPr>
              <w:t> </w:t>
            </w:r>
            <w:r>
              <w:rPr>
                <w:sz w:val="20"/>
              </w:rPr>
              <w:t>other</w:t>
            </w:r>
            <w:r>
              <w:rPr>
                <w:spacing w:val="-5"/>
                <w:sz w:val="20"/>
              </w:rPr>
              <w:t> </w:t>
            </w:r>
            <w:r>
              <w:rPr>
                <w:sz w:val="20"/>
              </w:rPr>
              <w:t>books</w:t>
            </w:r>
            <w:r>
              <w:rPr>
                <w:spacing w:val="-5"/>
                <w:sz w:val="20"/>
              </w:rPr>
              <w:t> </w:t>
            </w:r>
            <w:r>
              <w:rPr>
                <w:sz w:val="20"/>
              </w:rPr>
              <w:t>related</w:t>
            </w:r>
            <w:r>
              <w:rPr>
                <w:spacing w:val="-4"/>
                <w:sz w:val="20"/>
              </w:rPr>
              <w:t> </w:t>
            </w:r>
            <w:r>
              <w:rPr>
                <w:sz w:val="20"/>
              </w:rPr>
              <w:t>to</w:t>
            </w:r>
            <w:r>
              <w:rPr>
                <w:spacing w:val="-5"/>
                <w:sz w:val="20"/>
              </w:rPr>
              <w:t> </w:t>
            </w:r>
            <w:r>
              <w:rPr>
                <w:sz w:val="20"/>
              </w:rPr>
              <w:t>the</w:t>
            </w:r>
            <w:r>
              <w:rPr>
                <w:spacing w:val="-6"/>
                <w:sz w:val="20"/>
              </w:rPr>
              <w:t> </w:t>
            </w:r>
            <w:r>
              <w:rPr>
                <w:spacing w:val="-2"/>
                <w:sz w:val="20"/>
              </w:rPr>
              <w:t>discipline</w:t>
            </w:r>
          </w:p>
          <w:p>
            <w:pPr>
              <w:pStyle w:val="TableParagraph"/>
              <w:numPr>
                <w:ilvl w:val="0"/>
                <w:numId w:val="13"/>
              </w:numPr>
              <w:tabs>
                <w:tab w:pos="825" w:val="left" w:leader="none"/>
              </w:tabs>
              <w:spacing w:line="240" w:lineRule="auto" w:before="0" w:after="0"/>
              <w:ind w:left="825" w:right="448" w:hanging="360"/>
              <w:jc w:val="left"/>
              <w:rPr>
                <w:sz w:val="20"/>
              </w:rPr>
            </w:pPr>
            <w:r>
              <w:rPr>
                <w:sz w:val="20"/>
              </w:rPr>
              <w:t>Chapters</w:t>
            </w:r>
            <w:r>
              <w:rPr>
                <w:spacing w:val="-4"/>
                <w:sz w:val="20"/>
              </w:rPr>
              <w:t> </w:t>
            </w:r>
            <w:r>
              <w:rPr>
                <w:sz w:val="20"/>
              </w:rPr>
              <w:t>of</w:t>
            </w:r>
            <w:r>
              <w:rPr>
                <w:spacing w:val="-5"/>
                <w:sz w:val="20"/>
              </w:rPr>
              <w:t> </w:t>
            </w:r>
            <w:r>
              <w:rPr>
                <w:sz w:val="20"/>
              </w:rPr>
              <w:t>textbooks</w:t>
            </w:r>
            <w:r>
              <w:rPr>
                <w:spacing w:val="-4"/>
                <w:sz w:val="20"/>
              </w:rPr>
              <w:t> </w:t>
            </w:r>
            <w:r>
              <w:rPr>
                <w:sz w:val="20"/>
              </w:rPr>
              <w:t>or</w:t>
            </w:r>
            <w:r>
              <w:rPr>
                <w:spacing w:val="-5"/>
                <w:sz w:val="20"/>
              </w:rPr>
              <w:t> </w:t>
            </w:r>
            <w:r>
              <w:rPr>
                <w:sz w:val="20"/>
              </w:rPr>
              <w:t>other</w:t>
            </w:r>
            <w:r>
              <w:rPr>
                <w:spacing w:val="-5"/>
                <w:sz w:val="20"/>
              </w:rPr>
              <w:t> </w:t>
            </w:r>
            <w:r>
              <w:rPr>
                <w:sz w:val="20"/>
              </w:rPr>
              <w:t>books</w:t>
            </w:r>
            <w:r>
              <w:rPr>
                <w:spacing w:val="-4"/>
                <w:sz w:val="20"/>
              </w:rPr>
              <w:t> </w:t>
            </w:r>
            <w:r>
              <w:rPr>
                <w:sz w:val="20"/>
              </w:rPr>
              <w:t>related</w:t>
            </w:r>
            <w:r>
              <w:rPr>
                <w:spacing w:val="-4"/>
                <w:sz w:val="20"/>
              </w:rPr>
              <w:t> </w:t>
            </w:r>
            <w:r>
              <w:rPr>
                <w:sz w:val="20"/>
              </w:rPr>
              <w:t>to</w:t>
            </w:r>
            <w:r>
              <w:rPr>
                <w:spacing w:val="-5"/>
                <w:sz w:val="20"/>
              </w:rPr>
              <w:t> </w:t>
            </w:r>
            <w:r>
              <w:rPr>
                <w:sz w:val="20"/>
              </w:rPr>
              <w:t>the discipline (when evaluated by an editor, this is an example</w:t>
            </w:r>
            <w:r>
              <w:rPr>
                <w:spacing w:val="-10"/>
                <w:sz w:val="20"/>
              </w:rPr>
              <w:t> </w:t>
            </w:r>
            <w:r>
              <w:rPr>
                <w:sz w:val="20"/>
              </w:rPr>
              <w:t>of</w:t>
            </w:r>
            <w:r>
              <w:rPr>
                <w:spacing w:val="-10"/>
                <w:sz w:val="20"/>
              </w:rPr>
              <w:t> </w:t>
            </w:r>
            <w:r>
              <w:rPr>
                <w:sz w:val="20"/>
              </w:rPr>
              <w:t>professional</w:t>
            </w:r>
            <w:r>
              <w:rPr>
                <w:spacing w:val="-10"/>
                <w:sz w:val="20"/>
              </w:rPr>
              <w:t> </w:t>
            </w:r>
            <w:r>
              <w:rPr>
                <w:sz w:val="20"/>
              </w:rPr>
              <w:t>peer-reviewed</w:t>
            </w:r>
            <w:r>
              <w:rPr>
                <w:spacing w:val="-9"/>
                <w:sz w:val="20"/>
              </w:rPr>
              <w:t> </w:t>
            </w:r>
            <w:r>
              <w:rPr>
                <w:sz w:val="20"/>
              </w:rPr>
              <w:t>scholarship)</w:t>
            </w:r>
          </w:p>
          <w:p>
            <w:pPr>
              <w:pStyle w:val="TableParagraph"/>
              <w:numPr>
                <w:ilvl w:val="0"/>
                <w:numId w:val="13"/>
              </w:numPr>
              <w:tabs>
                <w:tab w:pos="824" w:val="left" w:leader="none"/>
              </w:tabs>
              <w:spacing w:line="240" w:lineRule="auto" w:before="0" w:after="0"/>
              <w:ind w:left="824" w:right="516" w:hanging="360"/>
              <w:jc w:val="left"/>
              <w:rPr>
                <w:sz w:val="20"/>
              </w:rPr>
            </w:pPr>
            <w:r>
              <w:rPr>
                <w:sz w:val="20"/>
              </w:rPr>
              <w:t>Faculty</w:t>
            </w:r>
            <w:r>
              <w:rPr>
                <w:spacing w:val="-6"/>
                <w:sz w:val="20"/>
              </w:rPr>
              <w:t> </w:t>
            </w:r>
            <w:r>
              <w:rPr>
                <w:sz w:val="20"/>
              </w:rPr>
              <w:t>may</w:t>
            </w:r>
            <w:r>
              <w:rPr>
                <w:spacing w:val="-6"/>
                <w:sz w:val="20"/>
              </w:rPr>
              <w:t> </w:t>
            </w:r>
            <w:r>
              <w:rPr>
                <w:sz w:val="20"/>
              </w:rPr>
              <w:t>prepare</w:t>
            </w:r>
            <w:r>
              <w:rPr>
                <w:spacing w:val="-8"/>
                <w:sz w:val="20"/>
              </w:rPr>
              <w:t> </w:t>
            </w:r>
            <w:r>
              <w:rPr>
                <w:sz w:val="20"/>
              </w:rPr>
              <w:t>pedagogical</w:t>
            </w:r>
            <w:r>
              <w:rPr>
                <w:spacing w:val="-7"/>
                <w:sz w:val="20"/>
              </w:rPr>
              <w:t> </w:t>
            </w:r>
            <w:r>
              <w:rPr>
                <w:sz w:val="20"/>
              </w:rPr>
              <w:t>materials</w:t>
            </w:r>
            <w:r>
              <w:rPr>
                <w:spacing w:val="-6"/>
                <w:sz w:val="20"/>
              </w:rPr>
              <w:t> </w:t>
            </w:r>
            <w:r>
              <w:rPr>
                <w:sz w:val="20"/>
              </w:rPr>
              <w:t>used</w:t>
            </w:r>
            <w:r>
              <w:rPr>
                <w:spacing w:val="-6"/>
                <w:sz w:val="20"/>
              </w:rPr>
              <w:t> </w:t>
            </w:r>
            <w:r>
              <w:rPr>
                <w:sz w:val="20"/>
              </w:rPr>
              <w:t>as ancillaries to textbooks or as journal publications.</w:t>
            </w:r>
          </w:p>
          <w:p>
            <w:pPr>
              <w:pStyle w:val="TableParagraph"/>
              <w:numPr>
                <w:ilvl w:val="0"/>
                <w:numId w:val="13"/>
              </w:numPr>
              <w:tabs>
                <w:tab w:pos="824" w:val="left" w:leader="none"/>
              </w:tabs>
              <w:spacing w:line="240" w:lineRule="auto" w:before="0" w:after="0"/>
              <w:ind w:left="824" w:right="168" w:hanging="360"/>
              <w:jc w:val="left"/>
              <w:rPr>
                <w:sz w:val="20"/>
              </w:rPr>
            </w:pPr>
            <w:r>
              <w:rPr>
                <w:sz w:val="20"/>
              </w:rPr>
              <w:t>Reports and grants related to assessment of learning and</w:t>
            </w:r>
            <w:r>
              <w:rPr>
                <w:spacing w:val="-7"/>
                <w:sz w:val="20"/>
              </w:rPr>
              <w:t> </w:t>
            </w:r>
            <w:r>
              <w:rPr>
                <w:sz w:val="20"/>
              </w:rPr>
              <w:t>evidence</w:t>
            </w:r>
            <w:r>
              <w:rPr>
                <w:spacing w:val="-8"/>
                <w:sz w:val="20"/>
              </w:rPr>
              <w:t> </w:t>
            </w:r>
            <w:r>
              <w:rPr>
                <w:sz w:val="20"/>
              </w:rPr>
              <w:t>of</w:t>
            </w:r>
            <w:r>
              <w:rPr>
                <w:spacing w:val="-8"/>
                <w:sz w:val="20"/>
              </w:rPr>
              <w:t> </w:t>
            </w:r>
            <w:r>
              <w:rPr>
                <w:sz w:val="20"/>
              </w:rPr>
              <w:t>pedagogical</w:t>
            </w:r>
            <w:r>
              <w:rPr>
                <w:spacing w:val="-6"/>
                <w:sz w:val="20"/>
              </w:rPr>
              <w:t> </w:t>
            </w:r>
            <w:r>
              <w:rPr>
                <w:sz w:val="20"/>
              </w:rPr>
              <w:t>development</w:t>
            </w:r>
            <w:r>
              <w:rPr>
                <w:spacing w:val="-7"/>
                <w:sz w:val="20"/>
              </w:rPr>
              <w:t> </w:t>
            </w:r>
            <w:r>
              <w:rPr>
                <w:sz w:val="20"/>
              </w:rPr>
              <w:t>that</w:t>
            </w:r>
            <w:r>
              <w:rPr>
                <w:spacing w:val="-7"/>
                <w:sz w:val="20"/>
              </w:rPr>
              <w:t> </w:t>
            </w:r>
            <w:r>
              <w:rPr>
                <w:sz w:val="20"/>
              </w:rPr>
              <w:t>informs the teaching and learning of other academics.</w:t>
            </w:r>
          </w:p>
          <w:p>
            <w:pPr>
              <w:pStyle w:val="TableParagraph"/>
              <w:numPr>
                <w:ilvl w:val="0"/>
                <w:numId w:val="13"/>
              </w:numPr>
              <w:tabs>
                <w:tab w:pos="825" w:val="left" w:leader="none"/>
              </w:tabs>
              <w:spacing w:line="234" w:lineRule="exact" w:before="1" w:after="0"/>
              <w:ind w:left="825" w:right="0" w:hanging="360"/>
              <w:jc w:val="left"/>
              <w:rPr>
                <w:sz w:val="20"/>
              </w:rPr>
            </w:pPr>
            <w:r>
              <w:rPr>
                <w:spacing w:val="-2"/>
                <w:sz w:val="20"/>
              </w:rPr>
              <w:t>Professional</w:t>
            </w:r>
            <w:r>
              <w:rPr>
                <w:spacing w:val="11"/>
                <w:sz w:val="20"/>
              </w:rPr>
              <w:t> </w:t>
            </w:r>
            <w:r>
              <w:rPr>
                <w:spacing w:val="-2"/>
                <w:sz w:val="20"/>
              </w:rPr>
              <w:t>peer-reviewed</w:t>
            </w:r>
            <w:r>
              <w:rPr>
                <w:spacing w:val="14"/>
                <w:sz w:val="20"/>
              </w:rPr>
              <w:t> </w:t>
            </w:r>
            <w:r>
              <w:rPr>
                <w:spacing w:val="-2"/>
                <w:sz w:val="20"/>
              </w:rPr>
              <w:t>scholarship.</w:t>
            </w:r>
          </w:p>
        </w:tc>
        <w:tc>
          <w:tcPr>
            <w:tcW w:w="5963" w:type="dxa"/>
          </w:tcPr>
          <w:p>
            <w:pPr>
              <w:pStyle w:val="TableParagraph"/>
              <w:spacing w:before="1"/>
              <w:ind w:left="108" w:right="95"/>
              <w:rPr>
                <w:sz w:val="20"/>
              </w:rPr>
            </w:pPr>
            <w:r>
              <w:rPr>
                <w:b/>
                <w:sz w:val="20"/>
              </w:rPr>
              <w:t>Publications</w:t>
            </w:r>
            <w:r>
              <w:rPr>
                <w:b/>
                <w:spacing w:val="-5"/>
                <w:sz w:val="20"/>
              </w:rPr>
              <w:t> </w:t>
            </w:r>
            <w:r>
              <w:rPr>
                <w:sz w:val="20"/>
              </w:rPr>
              <w:t>–</w:t>
            </w:r>
            <w:r>
              <w:rPr>
                <w:spacing w:val="-4"/>
                <w:sz w:val="20"/>
              </w:rPr>
              <w:t> </w:t>
            </w:r>
            <w:r>
              <w:rPr>
                <w:sz w:val="20"/>
              </w:rPr>
              <w:t>The</w:t>
            </w:r>
            <w:r>
              <w:rPr>
                <w:spacing w:val="-6"/>
                <w:sz w:val="20"/>
              </w:rPr>
              <w:t> </w:t>
            </w:r>
            <w:r>
              <w:rPr>
                <w:sz w:val="20"/>
              </w:rPr>
              <w:t>expectation</w:t>
            </w:r>
            <w:r>
              <w:rPr>
                <w:spacing w:val="-4"/>
                <w:sz w:val="20"/>
              </w:rPr>
              <w:t> </w:t>
            </w:r>
            <w:r>
              <w:rPr>
                <w:sz w:val="20"/>
              </w:rPr>
              <w:t>is</w:t>
            </w:r>
            <w:r>
              <w:rPr>
                <w:spacing w:val="-4"/>
                <w:sz w:val="20"/>
              </w:rPr>
              <w:t> </w:t>
            </w:r>
            <w:r>
              <w:rPr>
                <w:sz w:val="20"/>
              </w:rPr>
              <w:t>that</w:t>
            </w:r>
            <w:r>
              <w:rPr>
                <w:spacing w:val="-4"/>
                <w:sz w:val="20"/>
              </w:rPr>
              <w:t> </w:t>
            </w:r>
            <w:r>
              <w:rPr>
                <w:sz w:val="20"/>
              </w:rPr>
              <w:t>IUPUI</w:t>
            </w:r>
            <w:r>
              <w:rPr>
                <w:spacing w:val="-5"/>
                <w:sz w:val="20"/>
              </w:rPr>
              <w:t> </w:t>
            </w:r>
            <w:r>
              <w:rPr>
                <w:sz w:val="20"/>
              </w:rPr>
              <w:t>clinical</w:t>
            </w:r>
            <w:r>
              <w:rPr>
                <w:spacing w:val="-5"/>
                <w:sz w:val="20"/>
              </w:rPr>
              <w:t> </w:t>
            </w:r>
            <w:r>
              <w:rPr>
                <w:sz w:val="20"/>
              </w:rPr>
              <w:t>faculty</w:t>
            </w:r>
            <w:r>
              <w:rPr>
                <w:spacing w:val="-4"/>
                <w:sz w:val="20"/>
              </w:rPr>
              <w:t> </w:t>
            </w:r>
            <w:r>
              <w:rPr>
                <w:sz w:val="20"/>
              </w:rPr>
              <w:t>members will engage in scholarly activity and disseminate evidence of that activity, and some of the scholarly activity will lead to publications. Because the teaching load and service engagement load for clinical faculty are higher than tenure-track faculty, the numbers of publications should be fewer than that expected for tenure- probationary faculty, and a wider array of outlets should be considered. In each case, evidence of greater rigor, readership or audience dissemination will be viewed favorably; however, this emphasis should not discourage specialization.</w:t>
            </w:r>
            <w:r>
              <w:rPr>
                <w:spacing w:val="40"/>
                <w:sz w:val="20"/>
              </w:rPr>
              <w:t> </w:t>
            </w:r>
            <w:r>
              <w:rPr>
                <w:sz w:val="20"/>
              </w:rPr>
              <w:t>Publications may </w:t>
            </w:r>
            <w:r>
              <w:rPr>
                <w:spacing w:val="-2"/>
                <w:sz w:val="20"/>
              </w:rPr>
              <w:t>include:</w:t>
            </w:r>
          </w:p>
          <w:p>
            <w:pPr>
              <w:pStyle w:val="TableParagraph"/>
              <w:numPr>
                <w:ilvl w:val="0"/>
                <w:numId w:val="14"/>
              </w:numPr>
              <w:tabs>
                <w:tab w:pos="828" w:val="left" w:leader="none"/>
              </w:tabs>
              <w:spacing w:line="240" w:lineRule="auto" w:before="0" w:after="0"/>
              <w:ind w:left="828" w:right="270" w:hanging="360"/>
              <w:jc w:val="left"/>
              <w:rPr>
                <w:sz w:val="20"/>
              </w:rPr>
            </w:pPr>
            <w:r>
              <w:rPr>
                <w:sz w:val="20"/>
              </w:rPr>
              <w:t>Journal</w:t>
            </w:r>
            <w:r>
              <w:rPr>
                <w:spacing w:val="-6"/>
                <w:sz w:val="20"/>
              </w:rPr>
              <w:t> </w:t>
            </w:r>
            <w:r>
              <w:rPr>
                <w:sz w:val="20"/>
              </w:rPr>
              <w:t>articles</w:t>
            </w:r>
            <w:r>
              <w:rPr>
                <w:spacing w:val="-5"/>
                <w:sz w:val="20"/>
              </w:rPr>
              <w:t> </w:t>
            </w:r>
            <w:r>
              <w:rPr>
                <w:sz w:val="20"/>
              </w:rPr>
              <w:t>(peer</w:t>
            </w:r>
            <w:r>
              <w:rPr>
                <w:spacing w:val="-6"/>
                <w:sz w:val="20"/>
              </w:rPr>
              <w:t> </w:t>
            </w:r>
            <w:r>
              <w:rPr>
                <w:sz w:val="20"/>
              </w:rPr>
              <w:t>or</w:t>
            </w:r>
            <w:r>
              <w:rPr>
                <w:spacing w:val="-6"/>
                <w:sz w:val="20"/>
              </w:rPr>
              <w:t> </w:t>
            </w:r>
            <w:r>
              <w:rPr>
                <w:sz w:val="20"/>
              </w:rPr>
              <w:t>non-peer</w:t>
            </w:r>
            <w:r>
              <w:rPr>
                <w:spacing w:val="-6"/>
                <w:sz w:val="20"/>
              </w:rPr>
              <w:t> </w:t>
            </w:r>
            <w:r>
              <w:rPr>
                <w:sz w:val="20"/>
              </w:rPr>
              <w:t>reviewed)</w:t>
            </w:r>
            <w:r>
              <w:rPr>
                <w:spacing w:val="-6"/>
                <w:sz w:val="20"/>
              </w:rPr>
              <w:t> </w:t>
            </w:r>
            <w:r>
              <w:rPr>
                <w:sz w:val="20"/>
              </w:rPr>
              <w:t>related</w:t>
            </w:r>
            <w:r>
              <w:rPr>
                <w:spacing w:val="-5"/>
                <w:sz w:val="20"/>
              </w:rPr>
              <w:t> </w:t>
            </w:r>
            <w:r>
              <w:rPr>
                <w:sz w:val="20"/>
              </w:rPr>
              <w:t>to</w:t>
            </w:r>
            <w:r>
              <w:rPr>
                <w:spacing w:val="-6"/>
                <w:sz w:val="20"/>
              </w:rPr>
              <w:t> </w:t>
            </w:r>
            <w:r>
              <w:rPr>
                <w:sz w:val="20"/>
              </w:rPr>
              <w:t>their </w:t>
            </w:r>
            <w:r>
              <w:rPr>
                <w:spacing w:val="-2"/>
                <w:sz w:val="20"/>
              </w:rPr>
              <w:t>service</w:t>
            </w:r>
          </w:p>
          <w:p>
            <w:pPr>
              <w:pStyle w:val="TableParagraph"/>
              <w:numPr>
                <w:ilvl w:val="0"/>
                <w:numId w:val="14"/>
              </w:numPr>
              <w:tabs>
                <w:tab w:pos="828" w:val="left" w:leader="none"/>
              </w:tabs>
              <w:spacing w:line="255" w:lineRule="exact" w:before="0" w:after="0"/>
              <w:ind w:left="828" w:right="0" w:hanging="360"/>
              <w:jc w:val="left"/>
              <w:rPr>
                <w:sz w:val="20"/>
              </w:rPr>
            </w:pPr>
            <w:r>
              <w:rPr>
                <w:sz w:val="20"/>
              </w:rPr>
              <w:t>Reports</w:t>
            </w:r>
            <w:r>
              <w:rPr>
                <w:spacing w:val="-5"/>
                <w:sz w:val="20"/>
              </w:rPr>
              <w:t> </w:t>
            </w:r>
            <w:r>
              <w:rPr>
                <w:sz w:val="20"/>
              </w:rPr>
              <w:t>and</w:t>
            </w:r>
            <w:r>
              <w:rPr>
                <w:spacing w:val="-5"/>
                <w:sz w:val="20"/>
              </w:rPr>
              <w:t> </w:t>
            </w:r>
            <w:r>
              <w:rPr>
                <w:sz w:val="20"/>
              </w:rPr>
              <w:t>grants</w:t>
            </w:r>
            <w:r>
              <w:rPr>
                <w:spacing w:val="-5"/>
                <w:sz w:val="20"/>
              </w:rPr>
              <w:t> </w:t>
            </w:r>
            <w:r>
              <w:rPr>
                <w:sz w:val="20"/>
              </w:rPr>
              <w:t>related</w:t>
            </w:r>
            <w:r>
              <w:rPr>
                <w:spacing w:val="-4"/>
                <w:sz w:val="20"/>
              </w:rPr>
              <w:t> </w:t>
            </w:r>
            <w:r>
              <w:rPr>
                <w:sz w:val="20"/>
              </w:rPr>
              <w:t>to</w:t>
            </w:r>
            <w:r>
              <w:rPr>
                <w:spacing w:val="-8"/>
                <w:sz w:val="20"/>
              </w:rPr>
              <w:t> </w:t>
            </w:r>
            <w:r>
              <w:rPr>
                <w:sz w:val="20"/>
              </w:rPr>
              <w:t>their</w:t>
            </w:r>
            <w:r>
              <w:rPr>
                <w:spacing w:val="-5"/>
                <w:sz w:val="20"/>
              </w:rPr>
              <w:t> </w:t>
            </w:r>
            <w:r>
              <w:rPr>
                <w:spacing w:val="-2"/>
                <w:sz w:val="20"/>
              </w:rPr>
              <w:t>service</w:t>
            </w:r>
          </w:p>
          <w:p>
            <w:pPr>
              <w:pStyle w:val="TableParagraph"/>
              <w:numPr>
                <w:ilvl w:val="0"/>
                <w:numId w:val="14"/>
              </w:numPr>
              <w:tabs>
                <w:tab w:pos="828" w:val="left" w:leader="none"/>
              </w:tabs>
              <w:spacing w:line="254" w:lineRule="exact" w:before="0" w:after="0"/>
              <w:ind w:left="828" w:right="0" w:hanging="360"/>
              <w:jc w:val="left"/>
              <w:rPr>
                <w:sz w:val="20"/>
              </w:rPr>
            </w:pPr>
            <w:r>
              <w:rPr>
                <w:spacing w:val="-2"/>
                <w:sz w:val="20"/>
              </w:rPr>
              <w:t>Professional</w:t>
            </w:r>
            <w:r>
              <w:rPr>
                <w:spacing w:val="11"/>
                <w:sz w:val="20"/>
              </w:rPr>
              <w:t> </w:t>
            </w:r>
            <w:r>
              <w:rPr>
                <w:spacing w:val="-2"/>
                <w:sz w:val="20"/>
              </w:rPr>
              <w:t>peer-reviewed</w:t>
            </w:r>
            <w:r>
              <w:rPr>
                <w:spacing w:val="13"/>
                <w:sz w:val="20"/>
              </w:rPr>
              <w:t> </w:t>
            </w:r>
            <w:r>
              <w:rPr>
                <w:spacing w:val="-2"/>
                <w:sz w:val="20"/>
              </w:rPr>
              <w:t>scholarship.</w:t>
            </w:r>
          </w:p>
          <w:p>
            <w:pPr>
              <w:pStyle w:val="TableParagraph"/>
              <w:numPr>
                <w:ilvl w:val="0"/>
                <w:numId w:val="14"/>
              </w:numPr>
              <w:tabs>
                <w:tab w:pos="828" w:val="left" w:leader="none"/>
              </w:tabs>
              <w:spacing w:line="240" w:lineRule="auto" w:before="0" w:after="0"/>
              <w:ind w:left="828" w:right="130" w:hanging="360"/>
              <w:jc w:val="left"/>
              <w:rPr>
                <w:sz w:val="20"/>
              </w:rPr>
            </w:pPr>
            <w:r>
              <w:rPr>
                <w:sz w:val="20"/>
              </w:rPr>
              <w:t>Contributions to local and national news media outlets.</w:t>
            </w:r>
            <w:r>
              <w:rPr>
                <w:spacing w:val="40"/>
                <w:sz w:val="20"/>
              </w:rPr>
              <w:t> </w:t>
            </w:r>
            <w:r>
              <w:rPr>
                <w:sz w:val="20"/>
              </w:rPr>
              <w:t>While quotes are examples of excellent service, for publication</w:t>
            </w:r>
            <w:r>
              <w:rPr>
                <w:spacing w:val="-4"/>
                <w:sz w:val="20"/>
              </w:rPr>
              <w:t> </w:t>
            </w:r>
            <w:r>
              <w:rPr>
                <w:sz w:val="20"/>
              </w:rPr>
              <w:t>the</w:t>
            </w:r>
            <w:r>
              <w:rPr>
                <w:spacing w:val="-6"/>
                <w:sz w:val="20"/>
              </w:rPr>
              <w:t> </w:t>
            </w:r>
            <w:r>
              <w:rPr>
                <w:sz w:val="20"/>
              </w:rPr>
              <w:t>primary</w:t>
            </w:r>
            <w:r>
              <w:rPr>
                <w:spacing w:val="-4"/>
                <w:sz w:val="20"/>
              </w:rPr>
              <w:t> </w:t>
            </w:r>
            <w:r>
              <w:rPr>
                <w:sz w:val="20"/>
              </w:rPr>
              <w:t>writer</w:t>
            </w:r>
            <w:r>
              <w:rPr>
                <w:spacing w:val="-3"/>
                <w:sz w:val="20"/>
              </w:rPr>
              <w:t> </w:t>
            </w:r>
            <w:r>
              <w:rPr>
                <w:sz w:val="20"/>
              </w:rPr>
              <w:t>should</w:t>
            </w:r>
            <w:r>
              <w:rPr>
                <w:spacing w:val="-7"/>
                <w:sz w:val="20"/>
              </w:rPr>
              <w:t> </w:t>
            </w:r>
            <w:r>
              <w:rPr>
                <w:sz w:val="20"/>
              </w:rPr>
              <w:t>be</w:t>
            </w:r>
            <w:r>
              <w:rPr>
                <w:spacing w:val="-6"/>
                <w:sz w:val="20"/>
              </w:rPr>
              <w:t> </w:t>
            </w:r>
            <w:r>
              <w:rPr>
                <w:sz w:val="20"/>
              </w:rPr>
              <w:t>the</w:t>
            </w:r>
            <w:r>
              <w:rPr>
                <w:spacing w:val="-6"/>
                <w:sz w:val="20"/>
              </w:rPr>
              <w:t> </w:t>
            </w:r>
            <w:r>
              <w:rPr>
                <w:sz w:val="20"/>
              </w:rPr>
              <w:t>faculty</w:t>
            </w:r>
            <w:r>
              <w:rPr>
                <w:spacing w:val="-4"/>
                <w:sz w:val="20"/>
              </w:rPr>
              <w:t> </w:t>
            </w:r>
            <w:r>
              <w:rPr>
                <w:sz w:val="20"/>
              </w:rPr>
              <w:t>member. (when evaluated by an editor, this is an example of professional peer-reviewed scholarship)</w:t>
            </w:r>
          </w:p>
          <w:p>
            <w:pPr>
              <w:pStyle w:val="TableParagraph"/>
              <w:numPr>
                <w:ilvl w:val="0"/>
                <w:numId w:val="14"/>
              </w:numPr>
              <w:tabs>
                <w:tab w:pos="828" w:val="left" w:leader="none"/>
              </w:tabs>
              <w:spacing w:line="240" w:lineRule="auto" w:before="0" w:after="0"/>
              <w:ind w:left="828" w:right="147" w:hanging="360"/>
              <w:jc w:val="left"/>
              <w:rPr>
                <w:sz w:val="20"/>
              </w:rPr>
            </w:pPr>
            <w:r>
              <w:rPr>
                <w:sz w:val="20"/>
              </w:rPr>
              <w:t>Web</w:t>
            </w:r>
            <w:r>
              <w:rPr>
                <w:spacing w:val="-4"/>
                <w:sz w:val="20"/>
              </w:rPr>
              <w:t> </w:t>
            </w:r>
            <w:r>
              <w:rPr>
                <w:sz w:val="20"/>
              </w:rPr>
              <w:t>pages</w:t>
            </w:r>
            <w:r>
              <w:rPr>
                <w:spacing w:val="-4"/>
                <w:sz w:val="20"/>
              </w:rPr>
              <w:t> </w:t>
            </w:r>
            <w:r>
              <w:rPr>
                <w:sz w:val="20"/>
              </w:rPr>
              <w:t>or</w:t>
            </w:r>
            <w:r>
              <w:rPr>
                <w:spacing w:val="-5"/>
                <w:sz w:val="20"/>
              </w:rPr>
              <w:t> </w:t>
            </w:r>
            <w:r>
              <w:rPr>
                <w:sz w:val="20"/>
              </w:rPr>
              <w:t>other</w:t>
            </w:r>
            <w:r>
              <w:rPr>
                <w:spacing w:val="-5"/>
                <w:sz w:val="20"/>
              </w:rPr>
              <w:t> </w:t>
            </w:r>
            <w:r>
              <w:rPr>
                <w:sz w:val="20"/>
              </w:rPr>
              <w:t>electronic</w:t>
            </w:r>
            <w:r>
              <w:rPr>
                <w:spacing w:val="-5"/>
                <w:sz w:val="20"/>
              </w:rPr>
              <w:t> </w:t>
            </w:r>
            <w:r>
              <w:rPr>
                <w:sz w:val="20"/>
              </w:rPr>
              <w:t>aids</w:t>
            </w:r>
            <w:r>
              <w:rPr>
                <w:spacing w:val="-4"/>
                <w:sz w:val="20"/>
              </w:rPr>
              <w:t> </w:t>
            </w:r>
            <w:r>
              <w:rPr>
                <w:sz w:val="20"/>
              </w:rPr>
              <w:t>to</w:t>
            </w:r>
            <w:r>
              <w:rPr>
                <w:spacing w:val="-5"/>
                <w:sz w:val="20"/>
              </w:rPr>
              <w:t> </w:t>
            </w:r>
            <w:r>
              <w:rPr>
                <w:sz w:val="20"/>
              </w:rPr>
              <w:t>facilitate</w:t>
            </w:r>
            <w:r>
              <w:rPr>
                <w:spacing w:val="-6"/>
                <w:sz w:val="20"/>
              </w:rPr>
              <w:t> </w:t>
            </w:r>
            <w:r>
              <w:rPr>
                <w:sz w:val="20"/>
              </w:rPr>
              <w:t>service</w:t>
            </w:r>
            <w:r>
              <w:rPr>
                <w:spacing w:val="-6"/>
                <w:sz w:val="20"/>
              </w:rPr>
              <w:t> </w:t>
            </w:r>
            <w:r>
              <w:rPr>
                <w:sz w:val="20"/>
              </w:rPr>
              <w:t>(when evaluated by an editor, this is an example of professional peer-reviewed scholarship)</w:t>
            </w:r>
          </w:p>
          <w:p>
            <w:pPr>
              <w:pStyle w:val="TableParagraph"/>
              <w:numPr>
                <w:ilvl w:val="0"/>
                <w:numId w:val="14"/>
              </w:numPr>
              <w:tabs>
                <w:tab w:pos="828" w:val="left" w:leader="none"/>
              </w:tabs>
              <w:spacing w:line="240" w:lineRule="auto" w:before="0" w:after="0"/>
              <w:ind w:left="828" w:right="118" w:hanging="360"/>
              <w:jc w:val="left"/>
              <w:rPr>
                <w:sz w:val="20"/>
              </w:rPr>
            </w:pPr>
            <w:r>
              <w:rPr>
                <w:sz w:val="20"/>
              </w:rPr>
              <w:t>Service</w:t>
            </w:r>
            <w:r>
              <w:rPr>
                <w:spacing w:val="-6"/>
                <w:sz w:val="20"/>
              </w:rPr>
              <w:t> </w:t>
            </w:r>
            <w:r>
              <w:rPr>
                <w:sz w:val="20"/>
              </w:rPr>
              <w:t>contributions</w:t>
            </w:r>
            <w:r>
              <w:rPr>
                <w:spacing w:val="-4"/>
                <w:sz w:val="20"/>
              </w:rPr>
              <w:t> </w:t>
            </w:r>
            <w:r>
              <w:rPr>
                <w:sz w:val="20"/>
              </w:rPr>
              <w:t>to</w:t>
            </w:r>
            <w:r>
              <w:rPr>
                <w:spacing w:val="-5"/>
                <w:sz w:val="20"/>
              </w:rPr>
              <w:t> </w:t>
            </w:r>
            <w:r>
              <w:rPr>
                <w:sz w:val="20"/>
              </w:rPr>
              <w:t>the</w:t>
            </w:r>
            <w:r>
              <w:rPr>
                <w:spacing w:val="-6"/>
                <w:sz w:val="20"/>
              </w:rPr>
              <w:t> </w:t>
            </w:r>
            <w:r>
              <w:rPr>
                <w:sz w:val="20"/>
              </w:rPr>
              <w:t>academy</w:t>
            </w:r>
            <w:r>
              <w:rPr>
                <w:spacing w:val="-4"/>
                <w:sz w:val="20"/>
              </w:rPr>
              <w:t> </w:t>
            </w:r>
            <w:r>
              <w:rPr>
                <w:sz w:val="20"/>
              </w:rPr>
              <w:t>in</w:t>
            </w:r>
            <w:r>
              <w:rPr>
                <w:spacing w:val="-4"/>
                <w:sz w:val="20"/>
              </w:rPr>
              <w:t> </w:t>
            </w:r>
            <w:r>
              <w:rPr>
                <w:sz w:val="20"/>
              </w:rPr>
              <w:t>the</w:t>
            </w:r>
            <w:r>
              <w:rPr>
                <w:spacing w:val="-6"/>
                <w:sz w:val="20"/>
              </w:rPr>
              <w:t> </w:t>
            </w:r>
            <w:r>
              <w:rPr>
                <w:sz w:val="20"/>
              </w:rPr>
              <w:t>faculty</w:t>
            </w:r>
            <w:r>
              <w:rPr>
                <w:spacing w:val="-4"/>
                <w:sz w:val="20"/>
              </w:rPr>
              <w:t> </w:t>
            </w:r>
            <w:r>
              <w:rPr>
                <w:sz w:val="20"/>
              </w:rPr>
              <w:t>member’s area that are evidenced by reports or other written</w:t>
            </w:r>
          </w:p>
          <w:p>
            <w:pPr>
              <w:pStyle w:val="TableParagraph"/>
              <w:spacing w:line="234" w:lineRule="exact"/>
              <w:ind w:left="828"/>
              <w:rPr>
                <w:sz w:val="20"/>
              </w:rPr>
            </w:pPr>
            <w:r>
              <w:rPr>
                <w:spacing w:val="-2"/>
                <w:sz w:val="20"/>
              </w:rPr>
              <w:t>dissemination</w:t>
            </w:r>
          </w:p>
        </w:tc>
      </w:tr>
    </w:tbl>
    <w:p>
      <w:pPr>
        <w:spacing w:after="0" w:line="234" w:lineRule="exact"/>
        <w:rPr>
          <w:sz w:val="20"/>
        </w:rPr>
        <w:sectPr>
          <w:pgSz w:w="15840" w:h="12240" w:orient="landscape"/>
          <w:pgMar w:header="0" w:footer="1783" w:top="1380" w:bottom="1980" w:left="1340" w:right="1520"/>
        </w:sectPr>
      </w:pPr>
    </w:p>
    <w:p>
      <w:pPr>
        <w:pStyle w:val="BodyText"/>
        <w:spacing w:before="11"/>
        <w:rPr>
          <w:sz w:val="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5488"/>
        <w:gridCol w:w="5963"/>
      </w:tblGrid>
      <w:tr>
        <w:trPr>
          <w:trHeight w:val="6155" w:hRule="atLeast"/>
        </w:trPr>
        <w:tc>
          <w:tcPr>
            <w:tcW w:w="986" w:type="dxa"/>
          </w:tcPr>
          <w:p>
            <w:pPr>
              <w:pStyle w:val="TableParagraph"/>
              <w:rPr>
                <w:rFonts w:ascii="Times New Roman"/>
                <w:sz w:val="18"/>
              </w:rPr>
            </w:pPr>
          </w:p>
        </w:tc>
        <w:tc>
          <w:tcPr>
            <w:tcW w:w="5488" w:type="dxa"/>
          </w:tcPr>
          <w:p>
            <w:pPr>
              <w:pStyle w:val="TableParagraph"/>
              <w:numPr>
                <w:ilvl w:val="0"/>
                <w:numId w:val="15"/>
              </w:numPr>
              <w:tabs>
                <w:tab w:pos="825" w:val="left" w:leader="none"/>
              </w:tabs>
              <w:spacing w:line="240" w:lineRule="auto" w:before="0" w:after="0"/>
              <w:ind w:left="825" w:right="150" w:hanging="360"/>
              <w:jc w:val="left"/>
              <w:rPr>
                <w:sz w:val="20"/>
              </w:rPr>
            </w:pPr>
            <w:r>
              <w:rPr>
                <w:sz w:val="20"/>
              </w:rPr>
              <w:t>Contributions</w:t>
            </w:r>
            <w:r>
              <w:rPr>
                <w:spacing w:val="-6"/>
                <w:sz w:val="20"/>
              </w:rPr>
              <w:t> </w:t>
            </w:r>
            <w:r>
              <w:rPr>
                <w:sz w:val="20"/>
              </w:rPr>
              <w:t>to</w:t>
            </w:r>
            <w:r>
              <w:rPr>
                <w:spacing w:val="-6"/>
                <w:sz w:val="20"/>
              </w:rPr>
              <w:t> </w:t>
            </w:r>
            <w:r>
              <w:rPr>
                <w:sz w:val="20"/>
              </w:rPr>
              <w:t>local</w:t>
            </w:r>
            <w:r>
              <w:rPr>
                <w:spacing w:val="-6"/>
                <w:sz w:val="20"/>
              </w:rPr>
              <w:t> </w:t>
            </w:r>
            <w:r>
              <w:rPr>
                <w:sz w:val="20"/>
              </w:rPr>
              <w:t>and</w:t>
            </w:r>
            <w:r>
              <w:rPr>
                <w:spacing w:val="-6"/>
                <w:sz w:val="20"/>
              </w:rPr>
              <w:t> </w:t>
            </w:r>
            <w:r>
              <w:rPr>
                <w:sz w:val="20"/>
              </w:rPr>
              <w:t>national</w:t>
            </w:r>
            <w:r>
              <w:rPr>
                <w:spacing w:val="-6"/>
                <w:sz w:val="20"/>
              </w:rPr>
              <w:t> </w:t>
            </w:r>
            <w:r>
              <w:rPr>
                <w:sz w:val="20"/>
              </w:rPr>
              <w:t>news</w:t>
            </w:r>
            <w:r>
              <w:rPr>
                <w:spacing w:val="-6"/>
                <w:sz w:val="20"/>
              </w:rPr>
              <w:t> </w:t>
            </w:r>
            <w:r>
              <w:rPr>
                <w:sz w:val="20"/>
              </w:rPr>
              <w:t>media</w:t>
            </w:r>
            <w:r>
              <w:rPr>
                <w:spacing w:val="-6"/>
                <w:sz w:val="20"/>
              </w:rPr>
              <w:t> </w:t>
            </w:r>
            <w:r>
              <w:rPr>
                <w:sz w:val="20"/>
              </w:rPr>
              <w:t>outlets. Some common examples include the </w:t>
            </w:r>
            <w:r>
              <w:rPr>
                <w:i/>
                <w:sz w:val="20"/>
              </w:rPr>
              <w:t>Indianapolis</w:t>
            </w:r>
            <w:r>
              <w:rPr>
                <w:i/>
                <w:sz w:val="20"/>
              </w:rPr>
              <w:t> Recorder, Indianapolis Business Journal </w:t>
            </w:r>
            <w:r>
              <w:rPr>
                <w:sz w:val="20"/>
              </w:rPr>
              <w:t>(local)</w:t>
            </w:r>
            <w:r>
              <w:rPr>
                <w:i/>
                <w:sz w:val="20"/>
              </w:rPr>
              <w:t>, The</w:t>
            </w:r>
            <w:r>
              <w:rPr>
                <w:i/>
                <w:sz w:val="20"/>
              </w:rPr>
              <w:t> Conversation</w:t>
            </w:r>
            <w:r>
              <w:rPr>
                <w:i/>
                <w:spacing w:val="40"/>
                <w:sz w:val="20"/>
              </w:rPr>
              <w:t> </w:t>
            </w:r>
            <w:r>
              <w:rPr>
                <w:sz w:val="20"/>
              </w:rPr>
              <w:t>and </w:t>
            </w:r>
            <w:r>
              <w:rPr>
                <w:i/>
                <w:sz w:val="20"/>
              </w:rPr>
              <w:t>The Wall Street Journal </w:t>
            </w:r>
            <w:r>
              <w:rPr>
                <w:sz w:val="20"/>
              </w:rPr>
              <w:t>(national). While quotes are examples of excellent service, for publication the primary writer should be the faculty member. (When evaluated by an editor, this is an example of professional peer-reviewed scholarship)</w:t>
            </w:r>
          </w:p>
          <w:p>
            <w:pPr>
              <w:pStyle w:val="TableParagraph"/>
              <w:numPr>
                <w:ilvl w:val="0"/>
                <w:numId w:val="15"/>
              </w:numPr>
              <w:tabs>
                <w:tab w:pos="825" w:val="left" w:leader="none"/>
              </w:tabs>
              <w:spacing w:line="240" w:lineRule="auto" w:before="0" w:after="0"/>
              <w:ind w:left="825" w:right="130" w:hanging="360"/>
              <w:jc w:val="left"/>
              <w:rPr>
                <w:sz w:val="20"/>
              </w:rPr>
            </w:pPr>
            <w:r>
              <w:rPr>
                <w:sz w:val="20"/>
              </w:rPr>
              <w:t>Web</w:t>
            </w:r>
            <w:r>
              <w:rPr>
                <w:spacing w:val="-4"/>
                <w:sz w:val="20"/>
              </w:rPr>
              <w:t> </w:t>
            </w:r>
            <w:r>
              <w:rPr>
                <w:sz w:val="20"/>
              </w:rPr>
              <w:t>pages</w:t>
            </w:r>
            <w:r>
              <w:rPr>
                <w:spacing w:val="-4"/>
                <w:sz w:val="20"/>
              </w:rPr>
              <w:t> </w:t>
            </w:r>
            <w:r>
              <w:rPr>
                <w:sz w:val="20"/>
              </w:rPr>
              <w:t>or</w:t>
            </w:r>
            <w:r>
              <w:rPr>
                <w:spacing w:val="-5"/>
                <w:sz w:val="20"/>
              </w:rPr>
              <w:t> </w:t>
            </w:r>
            <w:r>
              <w:rPr>
                <w:sz w:val="20"/>
              </w:rPr>
              <w:t>other</w:t>
            </w:r>
            <w:r>
              <w:rPr>
                <w:spacing w:val="-5"/>
                <w:sz w:val="20"/>
              </w:rPr>
              <w:t> </w:t>
            </w:r>
            <w:r>
              <w:rPr>
                <w:sz w:val="20"/>
              </w:rPr>
              <w:t>electronic</w:t>
            </w:r>
            <w:r>
              <w:rPr>
                <w:spacing w:val="-5"/>
                <w:sz w:val="20"/>
              </w:rPr>
              <w:t> </w:t>
            </w:r>
            <w:r>
              <w:rPr>
                <w:sz w:val="20"/>
              </w:rPr>
              <w:t>aids</w:t>
            </w:r>
            <w:r>
              <w:rPr>
                <w:spacing w:val="-4"/>
                <w:sz w:val="20"/>
              </w:rPr>
              <w:t> </w:t>
            </w:r>
            <w:r>
              <w:rPr>
                <w:sz w:val="20"/>
              </w:rPr>
              <w:t>to</w:t>
            </w:r>
            <w:r>
              <w:rPr>
                <w:spacing w:val="-5"/>
                <w:sz w:val="20"/>
              </w:rPr>
              <w:t> </w:t>
            </w:r>
            <w:r>
              <w:rPr>
                <w:sz w:val="20"/>
              </w:rPr>
              <w:t>facilitate</w:t>
            </w:r>
            <w:r>
              <w:rPr>
                <w:spacing w:val="-5"/>
                <w:sz w:val="20"/>
              </w:rPr>
              <w:t> </w:t>
            </w:r>
            <w:r>
              <w:rPr>
                <w:sz w:val="20"/>
              </w:rPr>
              <w:t>learning and instructional techniques. (When evaluated by an editor,</w:t>
            </w:r>
            <w:r>
              <w:rPr>
                <w:spacing w:val="-5"/>
                <w:sz w:val="20"/>
              </w:rPr>
              <w:t> </w:t>
            </w:r>
            <w:r>
              <w:rPr>
                <w:sz w:val="20"/>
              </w:rPr>
              <w:t>this</w:t>
            </w:r>
            <w:r>
              <w:rPr>
                <w:spacing w:val="-5"/>
                <w:sz w:val="20"/>
              </w:rPr>
              <w:t> </w:t>
            </w:r>
            <w:r>
              <w:rPr>
                <w:sz w:val="20"/>
              </w:rPr>
              <w:t>is</w:t>
            </w:r>
            <w:r>
              <w:rPr>
                <w:spacing w:val="-5"/>
                <w:sz w:val="20"/>
              </w:rPr>
              <w:t> </w:t>
            </w:r>
            <w:r>
              <w:rPr>
                <w:sz w:val="20"/>
              </w:rPr>
              <w:t>an</w:t>
            </w:r>
            <w:r>
              <w:rPr>
                <w:spacing w:val="-5"/>
                <w:sz w:val="20"/>
              </w:rPr>
              <w:t> </w:t>
            </w:r>
            <w:r>
              <w:rPr>
                <w:sz w:val="20"/>
              </w:rPr>
              <w:t>example</w:t>
            </w:r>
            <w:r>
              <w:rPr>
                <w:spacing w:val="-7"/>
                <w:sz w:val="20"/>
              </w:rPr>
              <w:t> </w:t>
            </w:r>
            <w:r>
              <w:rPr>
                <w:sz w:val="20"/>
              </w:rPr>
              <w:t>of</w:t>
            </w:r>
            <w:r>
              <w:rPr>
                <w:spacing w:val="-7"/>
                <w:sz w:val="20"/>
              </w:rPr>
              <w:t> </w:t>
            </w:r>
            <w:r>
              <w:rPr>
                <w:sz w:val="20"/>
              </w:rPr>
              <w:t>professional</w:t>
            </w:r>
            <w:r>
              <w:rPr>
                <w:spacing w:val="-6"/>
                <w:sz w:val="20"/>
              </w:rPr>
              <w:t> </w:t>
            </w:r>
            <w:r>
              <w:rPr>
                <w:sz w:val="20"/>
              </w:rPr>
              <w:t>peer-reviewed </w:t>
            </w:r>
            <w:r>
              <w:rPr>
                <w:spacing w:val="-2"/>
                <w:sz w:val="20"/>
              </w:rPr>
              <w:t>scholarship)</w:t>
            </w:r>
          </w:p>
          <w:p>
            <w:pPr>
              <w:pStyle w:val="TableParagraph"/>
              <w:numPr>
                <w:ilvl w:val="0"/>
                <w:numId w:val="15"/>
              </w:numPr>
              <w:tabs>
                <w:tab w:pos="825" w:val="left" w:leader="none"/>
              </w:tabs>
              <w:spacing w:line="240" w:lineRule="auto" w:before="1" w:after="0"/>
              <w:ind w:left="825" w:right="465" w:hanging="360"/>
              <w:jc w:val="left"/>
              <w:rPr>
                <w:sz w:val="20"/>
              </w:rPr>
            </w:pPr>
            <w:r>
              <w:rPr>
                <w:sz w:val="20"/>
              </w:rPr>
              <w:t>Contributions to social media, for example </w:t>
            </w:r>
            <w:r>
              <w:rPr>
                <w:i/>
                <w:sz w:val="20"/>
              </w:rPr>
              <w:t>Inside</w:t>
            </w:r>
            <w:r>
              <w:rPr>
                <w:i/>
                <w:sz w:val="20"/>
              </w:rPr>
              <w:t> Indiana</w:t>
            </w:r>
            <w:r>
              <w:rPr>
                <w:i/>
                <w:spacing w:val="-7"/>
                <w:sz w:val="20"/>
              </w:rPr>
              <w:t> </w:t>
            </w:r>
            <w:r>
              <w:rPr>
                <w:i/>
                <w:sz w:val="20"/>
              </w:rPr>
              <w:t>Business</w:t>
            </w:r>
            <w:r>
              <w:rPr>
                <w:i/>
                <w:spacing w:val="-8"/>
                <w:sz w:val="20"/>
              </w:rPr>
              <w:t> </w:t>
            </w:r>
            <w:r>
              <w:rPr>
                <w:sz w:val="20"/>
              </w:rPr>
              <w:t>(podcast,</w:t>
            </w:r>
            <w:r>
              <w:rPr>
                <w:spacing w:val="-7"/>
                <w:sz w:val="20"/>
              </w:rPr>
              <w:t> </w:t>
            </w:r>
            <w:r>
              <w:rPr>
                <w:sz w:val="20"/>
              </w:rPr>
              <w:t>TV),</w:t>
            </w:r>
            <w:r>
              <w:rPr>
                <w:spacing w:val="-7"/>
                <w:sz w:val="20"/>
              </w:rPr>
              <w:t> </w:t>
            </w:r>
            <w:r>
              <w:rPr>
                <w:sz w:val="20"/>
              </w:rPr>
              <w:t>featured</w:t>
            </w:r>
            <w:r>
              <w:rPr>
                <w:spacing w:val="-7"/>
                <w:sz w:val="20"/>
              </w:rPr>
              <w:t> </w:t>
            </w:r>
            <w:r>
              <w:rPr>
                <w:sz w:val="20"/>
              </w:rPr>
              <w:t>posts</w:t>
            </w:r>
            <w:r>
              <w:rPr>
                <w:spacing w:val="-7"/>
                <w:sz w:val="20"/>
              </w:rPr>
              <w:t> </w:t>
            </w:r>
            <w:r>
              <w:rPr>
                <w:sz w:val="20"/>
              </w:rPr>
              <w:t>(e.g., </w:t>
            </w:r>
            <w:r>
              <w:rPr>
                <w:spacing w:val="-2"/>
                <w:sz w:val="20"/>
              </w:rPr>
              <w:t>LinkedIN).</w:t>
            </w:r>
          </w:p>
          <w:p>
            <w:pPr>
              <w:pStyle w:val="TableParagraph"/>
              <w:numPr>
                <w:ilvl w:val="0"/>
                <w:numId w:val="15"/>
              </w:numPr>
              <w:tabs>
                <w:tab w:pos="825" w:val="left" w:leader="none"/>
              </w:tabs>
              <w:spacing w:line="240" w:lineRule="auto" w:before="0" w:after="0"/>
              <w:ind w:left="825" w:right="695" w:hanging="360"/>
              <w:jc w:val="left"/>
              <w:rPr>
                <w:sz w:val="20"/>
              </w:rPr>
            </w:pPr>
            <w:r>
              <w:rPr>
                <w:sz w:val="20"/>
              </w:rPr>
              <w:t>Assessments of effects pedagogy on students’ knowledge</w:t>
            </w:r>
            <w:r>
              <w:rPr>
                <w:spacing w:val="-9"/>
                <w:sz w:val="20"/>
              </w:rPr>
              <w:t> </w:t>
            </w:r>
            <w:r>
              <w:rPr>
                <w:sz w:val="20"/>
              </w:rPr>
              <w:t>and</w:t>
            </w:r>
            <w:r>
              <w:rPr>
                <w:spacing w:val="-8"/>
                <w:sz w:val="20"/>
              </w:rPr>
              <w:t> </w:t>
            </w:r>
            <w:r>
              <w:rPr>
                <w:sz w:val="20"/>
              </w:rPr>
              <w:t>skills</w:t>
            </w:r>
            <w:r>
              <w:rPr>
                <w:spacing w:val="-8"/>
                <w:sz w:val="20"/>
              </w:rPr>
              <w:t> </w:t>
            </w:r>
            <w:r>
              <w:rPr>
                <w:sz w:val="20"/>
              </w:rPr>
              <w:t>disseminated</w:t>
            </w:r>
            <w:r>
              <w:rPr>
                <w:spacing w:val="-8"/>
                <w:sz w:val="20"/>
              </w:rPr>
              <w:t> </w:t>
            </w:r>
            <w:r>
              <w:rPr>
                <w:sz w:val="20"/>
              </w:rPr>
              <w:t>in</w:t>
            </w:r>
            <w:r>
              <w:rPr>
                <w:spacing w:val="-8"/>
                <w:sz w:val="20"/>
              </w:rPr>
              <w:t> </w:t>
            </w:r>
            <w:r>
              <w:rPr>
                <w:sz w:val="20"/>
              </w:rPr>
              <w:t>conference papers or other venues.</w:t>
            </w:r>
          </w:p>
          <w:p>
            <w:pPr>
              <w:pStyle w:val="TableParagraph"/>
              <w:numPr>
                <w:ilvl w:val="0"/>
                <w:numId w:val="15"/>
              </w:numPr>
              <w:tabs>
                <w:tab w:pos="825" w:val="left" w:leader="none"/>
              </w:tabs>
              <w:spacing w:line="240" w:lineRule="auto" w:before="0" w:after="0"/>
              <w:ind w:left="825" w:right="0" w:hanging="360"/>
              <w:jc w:val="left"/>
              <w:rPr>
                <w:sz w:val="20"/>
              </w:rPr>
            </w:pPr>
            <w:r>
              <w:rPr>
                <w:sz w:val="20"/>
              </w:rPr>
              <w:t>Other</w:t>
            </w:r>
            <w:r>
              <w:rPr>
                <w:spacing w:val="-9"/>
                <w:sz w:val="20"/>
              </w:rPr>
              <w:t> </w:t>
            </w:r>
            <w:r>
              <w:rPr>
                <w:sz w:val="20"/>
              </w:rPr>
              <w:t>materials</w:t>
            </w:r>
            <w:r>
              <w:rPr>
                <w:spacing w:val="-9"/>
                <w:sz w:val="20"/>
              </w:rPr>
              <w:t> </w:t>
            </w:r>
            <w:r>
              <w:rPr>
                <w:sz w:val="20"/>
              </w:rPr>
              <w:t>reflecting</w:t>
            </w:r>
            <w:r>
              <w:rPr>
                <w:spacing w:val="-9"/>
                <w:sz w:val="20"/>
              </w:rPr>
              <w:t> </w:t>
            </w:r>
            <w:r>
              <w:rPr>
                <w:sz w:val="20"/>
              </w:rPr>
              <w:t>scholarly</w:t>
            </w:r>
            <w:r>
              <w:rPr>
                <w:spacing w:val="-8"/>
                <w:sz w:val="20"/>
              </w:rPr>
              <w:t> </w:t>
            </w:r>
            <w:r>
              <w:rPr>
                <w:spacing w:val="-2"/>
                <w:sz w:val="20"/>
              </w:rPr>
              <w:t>activity</w:t>
            </w:r>
          </w:p>
          <w:p>
            <w:pPr>
              <w:pStyle w:val="TableParagraph"/>
              <w:spacing w:before="1"/>
              <w:rPr>
                <w:sz w:val="20"/>
              </w:rPr>
            </w:pPr>
          </w:p>
          <w:p>
            <w:pPr>
              <w:pStyle w:val="TableParagraph"/>
              <w:ind w:left="105" w:right="124"/>
              <w:rPr>
                <w:sz w:val="20"/>
              </w:rPr>
            </w:pPr>
            <w:r>
              <w:rPr>
                <w:sz w:val="20"/>
              </w:rPr>
              <w:t>The</w:t>
            </w:r>
            <w:r>
              <w:rPr>
                <w:spacing w:val="-6"/>
                <w:sz w:val="20"/>
              </w:rPr>
              <w:t> </w:t>
            </w:r>
            <w:r>
              <w:rPr>
                <w:sz w:val="20"/>
              </w:rPr>
              <w:t>more</w:t>
            </w:r>
            <w:r>
              <w:rPr>
                <w:spacing w:val="-6"/>
                <w:sz w:val="20"/>
              </w:rPr>
              <w:t> </w:t>
            </w:r>
            <w:r>
              <w:rPr>
                <w:sz w:val="20"/>
              </w:rPr>
              <w:t>a</w:t>
            </w:r>
            <w:r>
              <w:rPr>
                <w:spacing w:val="-5"/>
                <w:sz w:val="20"/>
              </w:rPr>
              <w:t> </w:t>
            </w:r>
            <w:r>
              <w:rPr>
                <w:sz w:val="20"/>
              </w:rPr>
              <w:t>clinical</w:t>
            </w:r>
            <w:r>
              <w:rPr>
                <w:spacing w:val="-5"/>
                <w:sz w:val="20"/>
              </w:rPr>
              <w:t> </w:t>
            </w:r>
            <w:r>
              <w:rPr>
                <w:sz w:val="20"/>
              </w:rPr>
              <w:t>faculty</w:t>
            </w:r>
            <w:r>
              <w:rPr>
                <w:spacing w:val="-4"/>
                <w:sz w:val="20"/>
              </w:rPr>
              <w:t> </w:t>
            </w:r>
            <w:r>
              <w:rPr>
                <w:sz w:val="20"/>
              </w:rPr>
              <w:t>member</w:t>
            </w:r>
            <w:r>
              <w:rPr>
                <w:spacing w:val="-5"/>
                <w:sz w:val="20"/>
              </w:rPr>
              <w:t> </w:t>
            </w:r>
            <w:r>
              <w:rPr>
                <w:sz w:val="20"/>
              </w:rPr>
              <w:t>can</w:t>
            </w:r>
            <w:r>
              <w:rPr>
                <w:spacing w:val="-4"/>
                <w:sz w:val="20"/>
              </w:rPr>
              <w:t> </w:t>
            </w:r>
            <w:r>
              <w:rPr>
                <w:sz w:val="20"/>
              </w:rPr>
              <w:t>document</w:t>
            </w:r>
            <w:r>
              <w:rPr>
                <w:spacing w:val="-5"/>
                <w:sz w:val="20"/>
              </w:rPr>
              <w:t> </w:t>
            </w:r>
            <w:r>
              <w:rPr>
                <w:sz w:val="20"/>
              </w:rPr>
              <w:t>how</w:t>
            </w:r>
            <w:r>
              <w:rPr>
                <w:spacing w:val="-6"/>
                <w:sz w:val="20"/>
              </w:rPr>
              <w:t> </w:t>
            </w:r>
            <w:r>
              <w:rPr>
                <w:sz w:val="20"/>
              </w:rPr>
              <w:t>others use the materials, the stronger the argument for impact.</w:t>
            </w:r>
          </w:p>
          <w:p>
            <w:pPr>
              <w:pStyle w:val="TableParagraph"/>
              <w:ind w:left="105" w:right="124"/>
              <w:rPr>
                <w:sz w:val="20"/>
              </w:rPr>
            </w:pPr>
            <w:r>
              <w:rPr>
                <w:sz w:val="20"/>
              </w:rPr>
              <w:t>Evidence</w:t>
            </w:r>
            <w:r>
              <w:rPr>
                <w:spacing w:val="-6"/>
                <w:sz w:val="20"/>
              </w:rPr>
              <w:t> </w:t>
            </w:r>
            <w:r>
              <w:rPr>
                <w:sz w:val="20"/>
              </w:rPr>
              <w:t>of</w:t>
            </w:r>
            <w:r>
              <w:rPr>
                <w:spacing w:val="-6"/>
                <w:sz w:val="20"/>
              </w:rPr>
              <w:t> </w:t>
            </w:r>
            <w:r>
              <w:rPr>
                <w:sz w:val="20"/>
              </w:rPr>
              <w:t>impact</w:t>
            </w:r>
            <w:r>
              <w:rPr>
                <w:spacing w:val="-5"/>
                <w:sz w:val="20"/>
              </w:rPr>
              <w:t> </w:t>
            </w:r>
            <w:r>
              <w:rPr>
                <w:sz w:val="20"/>
              </w:rPr>
              <w:t>should</w:t>
            </w:r>
            <w:r>
              <w:rPr>
                <w:spacing w:val="-4"/>
                <w:sz w:val="20"/>
              </w:rPr>
              <w:t> </w:t>
            </w:r>
            <w:r>
              <w:rPr>
                <w:sz w:val="20"/>
              </w:rPr>
              <w:t>focus</w:t>
            </w:r>
            <w:r>
              <w:rPr>
                <w:spacing w:val="-4"/>
                <w:sz w:val="20"/>
              </w:rPr>
              <w:t> </w:t>
            </w:r>
            <w:r>
              <w:rPr>
                <w:sz w:val="20"/>
              </w:rPr>
              <w:t>on</w:t>
            </w:r>
            <w:r>
              <w:rPr>
                <w:spacing w:val="-4"/>
                <w:sz w:val="20"/>
              </w:rPr>
              <w:t> </w:t>
            </w:r>
            <w:r>
              <w:rPr>
                <w:sz w:val="20"/>
              </w:rPr>
              <w:t>breadth,</w:t>
            </w:r>
            <w:r>
              <w:rPr>
                <w:spacing w:val="-4"/>
                <w:sz w:val="20"/>
              </w:rPr>
              <w:t> </w:t>
            </w:r>
            <w:r>
              <w:rPr>
                <w:sz w:val="20"/>
              </w:rPr>
              <w:t>thematic</w:t>
            </w:r>
            <w:r>
              <w:rPr>
                <w:spacing w:val="-5"/>
                <w:sz w:val="20"/>
              </w:rPr>
              <w:t> </w:t>
            </w:r>
            <w:r>
              <w:rPr>
                <w:sz w:val="20"/>
              </w:rPr>
              <w:t>and coherent content, and be related to professional goals.</w:t>
            </w:r>
          </w:p>
        </w:tc>
        <w:tc>
          <w:tcPr>
            <w:tcW w:w="5963" w:type="dxa"/>
          </w:tcPr>
          <w:p>
            <w:pPr>
              <w:pStyle w:val="TableParagraph"/>
              <w:numPr>
                <w:ilvl w:val="0"/>
                <w:numId w:val="16"/>
              </w:numPr>
              <w:tabs>
                <w:tab w:pos="828" w:val="left" w:leader="none"/>
              </w:tabs>
              <w:spacing w:line="240" w:lineRule="auto" w:before="0" w:after="0"/>
              <w:ind w:left="828" w:right="438" w:hanging="360"/>
              <w:jc w:val="left"/>
              <w:rPr>
                <w:sz w:val="20"/>
              </w:rPr>
            </w:pPr>
            <w:r>
              <w:rPr>
                <w:sz w:val="20"/>
              </w:rPr>
              <w:t>Contributions</w:t>
            </w:r>
            <w:r>
              <w:rPr>
                <w:spacing w:val="-3"/>
                <w:sz w:val="20"/>
              </w:rPr>
              <w:t> </w:t>
            </w:r>
            <w:r>
              <w:rPr>
                <w:sz w:val="20"/>
              </w:rPr>
              <w:t>to</w:t>
            </w:r>
            <w:r>
              <w:rPr>
                <w:spacing w:val="-4"/>
                <w:sz w:val="20"/>
              </w:rPr>
              <w:t> </w:t>
            </w:r>
            <w:r>
              <w:rPr>
                <w:sz w:val="20"/>
              </w:rPr>
              <w:t>the</w:t>
            </w:r>
            <w:r>
              <w:rPr>
                <w:spacing w:val="-5"/>
                <w:sz w:val="20"/>
              </w:rPr>
              <w:t> </w:t>
            </w:r>
            <w:r>
              <w:rPr>
                <w:sz w:val="20"/>
              </w:rPr>
              <w:t>unit</w:t>
            </w:r>
            <w:r>
              <w:rPr>
                <w:spacing w:val="-4"/>
                <w:sz w:val="20"/>
              </w:rPr>
              <w:t> </w:t>
            </w:r>
            <w:r>
              <w:rPr>
                <w:sz w:val="20"/>
              </w:rPr>
              <w:t>and</w:t>
            </w:r>
            <w:r>
              <w:rPr>
                <w:spacing w:val="-6"/>
                <w:sz w:val="20"/>
              </w:rPr>
              <w:t> </w:t>
            </w:r>
            <w:r>
              <w:rPr>
                <w:sz w:val="20"/>
              </w:rPr>
              <w:t>IUPUI</w:t>
            </w:r>
            <w:r>
              <w:rPr>
                <w:spacing w:val="-4"/>
                <w:sz w:val="20"/>
              </w:rPr>
              <w:t> </w:t>
            </w:r>
            <w:r>
              <w:rPr>
                <w:sz w:val="20"/>
              </w:rPr>
              <w:t>that</w:t>
            </w:r>
            <w:r>
              <w:rPr>
                <w:spacing w:val="-4"/>
                <w:sz w:val="20"/>
              </w:rPr>
              <w:t> </w:t>
            </w:r>
            <w:r>
              <w:rPr>
                <w:sz w:val="20"/>
              </w:rPr>
              <w:t>are</w:t>
            </w:r>
            <w:r>
              <w:rPr>
                <w:spacing w:val="-5"/>
                <w:sz w:val="20"/>
              </w:rPr>
              <w:t> </w:t>
            </w:r>
            <w:r>
              <w:rPr>
                <w:sz w:val="20"/>
              </w:rPr>
              <w:t>evidenced</w:t>
            </w:r>
            <w:r>
              <w:rPr>
                <w:spacing w:val="-3"/>
                <w:sz w:val="20"/>
              </w:rPr>
              <w:t> </w:t>
            </w:r>
            <w:r>
              <w:rPr>
                <w:sz w:val="20"/>
              </w:rPr>
              <w:t>by reports or other written dissemination</w:t>
            </w:r>
          </w:p>
          <w:p>
            <w:pPr>
              <w:pStyle w:val="TableParagraph"/>
              <w:spacing w:before="2"/>
              <w:rPr>
                <w:sz w:val="20"/>
              </w:rPr>
            </w:pPr>
          </w:p>
          <w:p>
            <w:pPr>
              <w:pStyle w:val="TableParagraph"/>
              <w:ind w:left="108" w:right="95"/>
              <w:rPr>
                <w:sz w:val="20"/>
              </w:rPr>
            </w:pPr>
            <w:r>
              <w:rPr>
                <w:sz w:val="20"/>
              </w:rPr>
              <w:t>The</w:t>
            </w:r>
            <w:r>
              <w:rPr>
                <w:spacing w:val="-4"/>
                <w:sz w:val="20"/>
              </w:rPr>
              <w:t> </w:t>
            </w:r>
            <w:r>
              <w:rPr>
                <w:sz w:val="20"/>
              </w:rPr>
              <w:t>more</w:t>
            </w:r>
            <w:r>
              <w:rPr>
                <w:spacing w:val="-4"/>
                <w:sz w:val="20"/>
              </w:rPr>
              <w:t> </w:t>
            </w:r>
            <w:r>
              <w:rPr>
                <w:sz w:val="20"/>
              </w:rPr>
              <w:t>a</w:t>
            </w:r>
            <w:r>
              <w:rPr>
                <w:spacing w:val="-4"/>
                <w:sz w:val="20"/>
              </w:rPr>
              <w:t> </w:t>
            </w:r>
            <w:r>
              <w:rPr>
                <w:sz w:val="20"/>
              </w:rPr>
              <w:t>clinical</w:t>
            </w:r>
            <w:r>
              <w:rPr>
                <w:spacing w:val="-4"/>
                <w:sz w:val="20"/>
              </w:rPr>
              <w:t> </w:t>
            </w:r>
            <w:r>
              <w:rPr>
                <w:sz w:val="20"/>
              </w:rPr>
              <w:t>faculty</w:t>
            </w:r>
            <w:r>
              <w:rPr>
                <w:spacing w:val="-3"/>
                <w:sz w:val="20"/>
              </w:rPr>
              <w:t> </w:t>
            </w:r>
            <w:r>
              <w:rPr>
                <w:sz w:val="20"/>
              </w:rPr>
              <w:t>member</w:t>
            </w:r>
            <w:r>
              <w:rPr>
                <w:spacing w:val="-4"/>
                <w:sz w:val="20"/>
              </w:rPr>
              <w:t> </w:t>
            </w:r>
            <w:r>
              <w:rPr>
                <w:sz w:val="20"/>
              </w:rPr>
              <w:t>can</w:t>
            </w:r>
            <w:r>
              <w:rPr>
                <w:spacing w:val="-3"/>
                <w:sz w:val="20"/>
              </w:rPr>
              <w:t> </w:t>
            </w:r>
            <w:r>
              <w:rPr>
                <w:sz w:val="20"/>
              </w:rPr>
              <w:t>document</w:t>
            </w:r>
            <w:r>
              <w:rPr>
                <w:spacing w:val="-4"/>
                <w:sz w:val="20"/>
              </w:rPr>
              <w:t> </w:t>
            </w:r>
            <w:r>
              <w:rPr>
                <w:sz w:val="20"/>
              </w:rPr>
              <w:t>how</w:t>
            </w:r>
            <w:r>
              <w:rPr>
                <w:spacing w:val="-4"/>
                <w:sz w:val="20"/>
              </w:rPr>
              <w:t> </w:t>
            </w:r>
            <w:r>
              <w:rPr>
                <w:sz w:val="20"/>
              </w:rPr>
              <w:t>others</w:t>
            </w:r>
            <w:r>
              <w:rPr>
                <w:spacing w:val="-3"/>
                <w:sz w:val="20"/>
              </w:rPr>
              <w:t> </w:t>
            </w:r>
            <w:r>
              <w:rPr>
                <w:sz w:val="20"/>
              </w:rPr>
              <w:t>use</w:t>
            </w:r>
            <w:r>
              <w:rPr>
                <w:spacing w:val="-4"/>
                <w:sz w:val="20"/>
              </w:rPr>
              <w:t> </w:t>
            </w:r>
            <w:r>
              <w:rPr>
                <w:sz w:val="20"/>
              </w:rPr>
              <w:t>the materials, the stronger the argument for impact. Evidence of impact should focus on breadth, thematic and coherent content, and be related to professional goals.</w:t>
            </w:r>
          </w:p>
        </w:tc>
      </w:tr>
      <w:tr>
        <w:trPr>
          <w:trHeight w:val="1466" w:hRule="atLeast"/>
        </w:trPr>
        <w:tc>
          <w:tcPr>
            <w:tcW w:w="986" w:type="dxa"/>
          </w:tcPr>
          <w:p>
            <w:pPr>
              <w:pStyle w:val="TableParagraph"/>
              <w:rPr>
                <w:rFonts w:ascii="Times New Roman"/>
                <w:sz w:val="18"/>
              </w:rPr>
            </w:pPr>
          </w:p>
        </w:tc>
        <w:tc>
          <w:tcPr>
            <w:tcW w:w="5488" w:type="dxa"/>
          </w:tcPr>
          <w:p>
            <w:pPr>
              <w:pStyle w:val="TableParagraph"/>
              <w:spacing w:before="1"/>
              <w:ind w:left="105"/>
              <w:rPr>
                <w:sz w:val="20"/>
              </w:rPr>
            </w:pPr>
            <w:r>
              <w:rPr>
                <w:b/>
                <w:sz w:val="20"/>
              </w:rPr>
              <w:t>Obtaining Grants Related to Teaching Activities. </w:t>
            </w:r>
            <w:r>
              <w:rPr>
                <w:sz w:val="20"/>
              </w:rPr>
              <w:t>Competitive grants</w:t>
            </w:r>
            <w:r>
              <w:rPr>
                <w:spacing w:val="-3"/>
                <w:sz w:val="20"/>
              </w:rPr>
              <w:t> </w:t>
            </w:r>
            <w:r>
              <w:rPr>
                <w:sz w:val="20"/>
              </w:rPr>
              <w:t>that</w:t>
            </w:r>
            <w:r>
              <w:rPr>
                <w:spacing w:val="-6"/>
                <w:sz w:val="20"/>
              </w:rPr>
              <w:t> </w:t>
            </w:r>
            <w:r>
              <w:rPr>
                <w:sz w:val="20"/>
              </w:rPr>
              <w:t>support</w:t>
            </w:r>
            <w:r>
              <w:rPr>
                <w:spacing w:val="-6"/>
                <w:sz w:val="20"/>
              </w:rPr>
              <w:t> </w:t>
            </w:r>
            <w:r>
              <w:rPr>
                <w:sz w:val="20"/>
              </w:rPr>
              <w:t>teaching</w:t>
            </w:r>
            <w:r>
              <w:rPr>
                <w:spacing w:val="-4"/>
                <w:sz w:val="20"/>
              </w:rPr>
              <w:t> </w:t>
            </w:r>
            <w:r>
              <w:rPr>
                <w:sz w:val="20"/>
              </w:rPr>
              <w:t>activities</w:t>
            </w:r>
            <w:r>
              <w:rPr>
                <w:spacing w:val="-3"/>
                <w:sz w:val="20"/>
              </w:rPr>
              <w:t> </w:t>
            </w:r>
            <w:r>
              <w:rPr>
                <w:sz w:val="20"/>
              </w:rPr>
              <w:t>can</w:t>
            </w:r>
            <w:r>
              <w:rPr>
                <w:spacing w:val="-3"/>
                <w:sz w:val="20"/>
              </w:rPr>
              <w:t> </w:t>
            </w:r>
            <w:r>
              <w:rPr>
                <w:sz w:val="20"/>
              </w:rPr>
              <w:t>be</w:t>
            </w:r>
            <w:r>
              <w:rPr>
                <w:spacing w:val="-5"/>
                <w:sz w:val="20"/>
              </w:rPr>
              <w:t> </w:t>
            </w:r>
            <w:r>
              <w:rPr>
                <w:sz w:val="20"/>
              </w:rPr>
              <w:t>seen</w:t>
            </w:r>
            <w:r>
              <w:rPr>
                <w:spacing w:val="-3"/>
                <w:sz w:val="20"/>
              </w:rPr>
              <w:t> </w:t>
            </w:r>
            <w:r>
              <w:rPr>
                <w:sz w:val="20"/>
              </w:rPr>
              <w:t>as</w:t>
            </w:r>
            <w:r>
              <w:rPr>
                <w:spacing w:val="-3"/>
                <w:sz w:val="20"/>
              </w:rPr>
              <w:t> </w:t>
            </w:r>
            <w:r>
              <w:rPr>
                <w:sz w:val="20"/>
              </w:rPr>
              <w:t>scholarship because</w:t>
            </w:r>
            <w:r>
              <w:rPr>
                <w:spacing w:val="-4"/>
                <w:sz w:val="20"/>
              </w:rPr>
              <w:t> </w:t>
            </w:r>
            <w:r>
              <w:rPr>
                <w:sz w:val="20"/>
              </w:rPr>
              <w:t>the</w:t>
            </w:r>
            <w:r>
              <w:rPr>
                <w:spacing w:val="-4"/>
                <w:sz w:val="20"/>
              </w:rPr>
              <w:t> </w:t>
            </w:r>
            <w:r>
              <w:rPr>
                <w:sz w:val="20"/>
              </w:rPr>
              <w:t>applications</w:t>
            </w:r>
            <w:r>
              <w:rPr>
                <w:spacing w:val="-2"/>
                <w:sz w:val="20"/>
              </w:rPr>
              <w:t> </w:t>
            </w:r>
            <w:r>
              <w:rPr>
                <w:sz w:val="20"/>
              </w:rPr>
              <w:t>are</w:t>
            </w:r>
            <w:r>
              <w:rPr>
                <w:spacing w:val="-4"/>
                <w:sz w:val="20"/>
              </w:rPr>
              <w:t> </w:t>
            </w:r>
            <w:r>
              <w:rPr>
                <w:sz w:val="20"/>
              </w:rPr>
              <w:t>often</w:t>
            </w:r>
            <w:r>
              <w:rPr>
                <w:spacing w:val="-2"/>
                <w:sz w:val="20"/>
              </w:rPr>
              <w:t> </w:t>
            </w:r>
            <w:r>
              <w:rPr>
                <w:sz w:val="20"/>
              </w:rPr>
              <w:t>subject</w:t>
            </w:r>
            <w:r>
              <w:rPr>
                <w:spacing w:val="-3"/>
                <w:sz w:val="20"/>
              </w:rPr>
              <w:t> </w:t>
            </w:r>
            <w:r>
              <w:rPr>
                <w:sz w:val="20"/>
              </w:rPr>
              <w:t>to</w:t>
            </w:r>
            <w:r>
              <w:rPr>
                <w:spacing w:val="-3"/>
                <w:sz w:val="20"/>
              </w:rPr>
              <w:t> </w:t>
            </w:r>
            <w:r>
              <w:rPr>
                <w:sz w:val="20"/>
              </w:rPr>
              <w:t>peer-review.</w:t>
            </w:r>
            <w:r>
              <w:rPr>
                <w:spacing w:val="-2"/>
                <w:sz w:val="20"/>
              </w:rPr>
              <w:t> </w:t>
            </w:r>
            <w:r>
              <w:rPr>
                <w:sz w:val="20"/>
              </w:rPr>
              <w:t>These are even more powerful when the grant supports the clinical faculty member to study and disseminate what is learned from</w:t>
            </w:r>
          </w:p>
          <w:p>
            <w:pPr>
              <w:pStyle w:val="TableParagraph"/>
              <w:spacing w:line="223" w:lineRule="exact" w:before="1"/>
              <w:ind w:left="105"/>
              <w:rPr>
                <w:sz w:val="20"/>
              </w:rPr>
            </w:pPr>
            <w:r>
              <w:rPr>
                <w:sz w:val="20"/>
              </w:rPr>
              <w:t>the</w:t>
            </w:r>
            <w:r>
              <w:rPr>
                <w:spacing w:val="-5"/>
                <w:sz w:val="20"/>
              </w:rPr>
              <w:t> </w:t>
            </w:r>
            <w:r>
              <w:rPr>
                <w:sz w:val="20"/>
              </w:rPr>
              <w:t>grant</w:t>
            </w:r>
            <w:r>
              <w:rPr>
                <w:spacing w:val="-5"/>
                <w:sz w:val="20"/>
              </w:rPr>
              <w:t> </w:t>
            </w:r>
            <w:r>
              <w:rPr>
                <w:spacing w:val="-2"/>
                <w:sz w:val="20"/>
              </w:rPr>
              <w:t>activity.</w:t>
            </w:r>
          </w:p>
        </w:tc>
        <w:tc>
          <w:tcPr>
            <w:tcW w:w="5963" w:type="dxa"/>
          </w:tcPr>
          <w:p>
            <w:pPr>
              <w:pStyle w:val="TableParagraph"/>
              <w:spacing w:before="1"/>
              <w:ind w:left="108" w:right="95"/>
              <w:rPr>
                <w:sz w:val="20"/>
              </w:rPr>
            </w:pPr>
            <w:r>
              <w:rPr>
                <w:b/>
                <w:sz w:val="20"/>
              </w:rPr>
              <w:t>Obtaining Grants Related to Service Activities. </w:t>
            </w:r>
            <w:r>
              <w:rPr>
                <w:sz w:val="20"/>
              </w:rPr>
              <w:t>Competitive grants that support service activities can be seen as scholarship because the applications are often subject to peer-review. These are even more powerful</w:t>
            </w:r>
            <w:r>
              <w:rPr>
                <w:spacing w:val="-2"/>
                <w:sz w:val="20"/>
              </w:rPr>
              <w:t> </w:t>
            </w:r>
            <w:r>
              <w:rPr>
                <w:sz w:val="20"/>
              </w:rPr>
              <w:t>when</w:t>
            </w:r>
            <w:r>
              <w:rPr>
                <w:spacing w:val="-3"/>
                <w:sz w:val="20"/>
              </w:rPr>
              <w:t> </w:t>
            </w:r>
            <w:r>
              <w:rPr>
                <w:sz w:val="20"/>
              </w:rPr>
              <w:t>the</w:t>
            </w:r>
            <w:r>
              <w:rPr>
                <w:spacing w:val="-5"/>
                <w:sz w:val="20"/>
              </w:rPr>
              <w:t> </w:t>
            </w:r>
            <w:r>
              <w:rPr>
                <w:sz w:val="20"/>
              </w:rPr>
              <w:t>grant</w:t>
            </w:r>
            <w:r>
              <w:rPr>
                <w:spacing w:val="-4"/>
                <w:sz w:val="20"/>
              </w:rPr>
              <w:t> </w:t>
            </w:r>
            <w:r>
              <w:rPr>
                <w:sz w:val="20"/>
              </w:rPr>
              <w:t>supports</w:t>
            </w:r>
            <w:r>
              <w:rPr>
                <w:spacing w:val="-3"/>
                <w:sz w:val="20"/>
              </w:rPr>
              <w:t> </w:t>
            </w:r>
            <w:r>
              <w:rPr>
                <w:sz w:val="20"/>
              </w:rPr>
              <w:t>the</w:t>
            </w:r>
            <w:r>
              <w:rPr>
                <w:spacing w:val="-5"/>
                <w:sz w:val="20"/>
              </w:rPr>
              <w:t> </w:t>
            </w:r>
            <w:r>
              <w:rPr>
                <w:sz w:val="20"/>
              </w:rPr>
              <w:t>clinical</w:t>
            </w:r>
            <w:r>
              <w:rPr>
                <w:spacing w:val="-4"/>
                <w:sz w:val="20"/>
              </w:rPr>
              <w:t> </w:t>
            </w:r>
            <w:r>
              <w:rPr>
                <w:sz w:val="20"/>
              </w:rPr>
              <w:t>faculty</w:t>
            </w:r>
            <w:r>
              <w:rPr>
                <w:spacing w:val="-3"/>
                <w:sz w:val="20"/>
              </w:rPr>
              <w:t> </w:t>
            </w:r>
            <w:r>
              <w:rPr>
                <w:sz w:val="20"/>
              </w:rPr>
              <w:t>member</w:t>
            </w:r>
            <w:r>
              <w:rPr>
                <w:spacing w:val="-4"/>
                <w:sz w:val="20"/>
              </w:rPr>
              <w:t> </w:t>
            </w:r>
            <w:r>
              <w:rPr>
                <w:sz w:val="20"/>
              </w:rPr>
              <w:t>to</w:t>
            </w:r>
            <w:r>
              <w:rPr>
                <w:spacing w:val="-4"/>
                <w:sz w:val="20"/>
              </w:rPr>
              <w:t> </w:t>
            </w:r>
            <w:r>
              <w:rPr>
                <w:sz w:val="20"/>
              </w:rPr>
              <w:t>study and disseminate what is learned from the grant activity.</w:t>
            </w:r>
          </w:p>
        </w:tc>
      </w:tr>
      <w:tr>
        <w:trPr>
          <w:trHeight w:val="1070" w:hRule="atLeast"/>
        </w:trPr>
        <w:tc>
          <w:tcPr>
            <w:tcW w:w="986" w:type="dxa"/>
          </w:tcPr>
          <w:p>
            <w:pPr>
              <w:pStyle w:val="TableParagraph"/>
              <w:rPr>
                <w:rFonts w:ascii="Times New Roman"/>
                <w:sz w:val="18"/>
              </w:rPr>
            </w:pPr>
          </w:p>
        </w:tc>
        <w:tc>
          <w:tcPr>
            <w:tcW w:w="5488" w:type="dxa"/>
          </w:tcPr>
          <w:p>
            <w:pPr>
              <w:pStyle w:val="TableParagraph"/>
              <w:spacing w:before="1"/>
              <w:ind w:left="105" w:right="124"/>
              <w:rPr>
                <w:sz w:val="20"/>
              </w:rPr>
            </w:pPr>
            <w:r>
              <w:rPr>
                <w:b/>
                <w:sz w:val="20"/>
              </w:rPr>
              <w:t>Workshops</w:t>
            </w:r>
            <w:r>
              <w:rPr>
                <w:sz w:val="20"/>
              </w:rPr>
              <w:t>. Being asked to facilitate and organize in-service workshops</w:t>
            </w:r>
            <w:r>
              <w:rPr>
                <w:spacing w:val="-5"/>
                <w:sz w:val="20"/>
              </w:rPr>
              <w:t> </w:t>
            </w:r>
            <w:r>
              <w:rPr>
                <w:sz w:val="20"/>
              </w:rPr>
              <w:t>with</w:t>
            </w:r>
            <w:r>
              <w:rPr>
                <w:spacing w:val="-5"/>
                <w:sz w:val="20"/>
              </w:rPr>
              <w:t> </w:t>
            </w:r>
            <w:r>
              <w:rPr>
                <w:sz w:val="20"/>
              </w:rPr>
              <w:t>other</w:t>
            </w:r>
            <w:r>
              <w:rPr>
                <w:spacing w:val="-6"/>
                <w:sz w:val="20"/>
              </w:rPr>
              <w:t> </w:t>
            </w:r>
            <w:r>
              <w:rPr>
                <w:sz w:val="20"/>
              </w:rPr>
              <w:t>academics</w:t>
            </w:r>
            <w:r>
              <w:rPr>
                <w:spacing w:val="-5"/>
                <w:sz w:val="20"/>
              </w:rPr>
              <w:t> </w:t>
            </w:r>
            <w:r>
              <w:rPr>
                <w:sz w:val="20"/>
              </w:rPr>
              <w:t>or</w:t>
            </w:r>
            <w:r>
              <w:rPr>
                <w:spacing w:val="-6"/>
                <w:sz w:val="20"/>
              </w:rPr>
              <w:t> </w:t>
            </w:r>
            <w:r>
              <w:rPr>
                <w:sz w:val="20"/>
              </w:rPr>
              <w:t>professionals</w:t>
            </w:r>
            <w:r>
              <w:rPr>
                <w:spacing w:val="-5"/>
                <w:sz w:val="20"/>
              </w:rPr>
              <w:t> </w:t>
            </w:r>
            <w:r>
              <w:rPr>
                <w:sz w:val="20"/>
              </w:rPr>
              <w:t>can</w:t>
            </w:r>
            <w:r>
              <w:rPr>
                <w:spacing w:val="-5"/>
                <w:sz w:val="20"/>
              </w:rPr>
              <w:t> </w:t>
            </w:r>
            <w:r>
              <w:rPr>
                <w:sz w:val="20"/>
              </w:rPr>
              <w:t>be</w:t>
            </w:r>
            <w:r>
              <w:rPr>
                <w:spacing w:val="-6"/>
                <w:sz w:val="20"/>
              </w:rPr>
              <w:t> </w:t>
            </w:r>
            <w:r>
              <w:rPr>
                <w:sz w:val="20"/>
              </w:rPr>
              <w:t>viewed as public dissemination of teaching techniques or discipline specific material. FACET membership (not required but an</w:t>
            </w:r>
          </w:p>
        </w:tc>
        <w:tc>
          <w:tcPr>
            <w:tcW w:w="5963" w:type="dxa"/>
          </w:tcPr>
          <w:p>
            <w:pPr>
              <w:pStyle w:val="TableParagraph"/>
              <w:spacing w:before="1"/>
              <w:ind w:left="108" w:right="95"/>
              <w:rPr>
                <w:sz w:val="20"/>
              </w:rPr>
            </w:pPr>
            <w:r>
              <w:rPr>
                <w:b/>
                <w:sz w:val="20"/>
              </w:rPr>
              <w:t>Workshops</w:t>
            </w:r>
            <w:r>
              <w:rPr>
                <w:sz w:val="20"/>
              </w:rPr>
              <w:t>. Being asked to facilitate and organize in-service workshops with other academics or professionals can be viewed as scholarship because this is public dissemination of techniques or discipline</w:t>
            </w:r>
            <w:r>
              <w:rPr>
                <w:spacing w:val="-5"/>
                <w:sz w:val="20"/>
              </w:rPr>
              <w:t> </w:t>
            </w:r>
            <w:r>
              <w:rPr>
                <w:sz w:val="20"/>
              </w:rPr>
              <w:t>specific</w:t>
            </w:r>
            <w:r>
              <w:rPr>
                <w:spacing w:val="-4"/>
                <w:sz w:val="20"/>
              </w:rPr>
              <w:t> </w:t>
            </w:r>
            <w:r>
              <w:rPr>
                <w:sz w:val="20"/>
              </w:rPr>
              <w:t>material.</w:t>
            </w:r>
            <w:r>
              <w:rPr>
                <w:spacing w:val="-4"/>
                <w:sz w:val="20"/>
              </w:rPr>
              <w:t> </w:t>
            </w:r>
            <w:r>
              <w:rPr>
                <w:sz w:val="20"/>
              </w:rPr>
              <w:t>Workshops</w:t>
            </w:r>
            <w:r>
              <w:rPr>
                <w:spacing w:val="-5"/>
                <w:sz w:val="20"/>
              </w:rPr>
              <w:t> </w:t>
            </w:r>
            <w:r>
              <w:rPr>
                <w:sz w:val="20"/>
              </w:rPr>
              <w:t>can</w:t>
            </w:r>
            <w:r>
              <w:rPr>
                <w:spacing w:val="-3"/>
                <w:sz w:val="20"/>
              </w:rPr>
              <w:t> </w:t>
            </w:r>
            <w:r>
              <w:rPr>
                <w:sz w:val="20"/>
              </w:rPr>
              <w:t>be</w:t>
            </w:r>
            <w:r>
              <w:rPr>
                <w:spacing w:val="-5"/>
                <w:sz w:val="20"/>
              </w:rPr>
              <w:t> </w:t>
            </w:r>
            <w:r>
              <w:rPr>
                <w:sz w:val="20"/>
              </w:rPr>
              <w:t>internal</w:t>
            </w:r>
            <w:r>
              <w:rPr>
                <w:spacing w:val="-4"/>
                <w:sz w:val="20"/>
              </w:rPr>
              <w:t> </w:t>
            </w:r>
            <w:r>
              <w:rPr>
                <w:sz w:val="20"/>
              </w:rPr>
              <w:t>to</w:t>
            </w:r>
            <w:r>
              <w:rPr>
                <w:spacing w:val="-4"/>
                <w:sz w:val="20"/>
              </w:rPr>
              <w:t> </w:t>
            </w:r>
            <w:r>
              <w:rPr>
                <w:sz w:val="20"/>
              </w:rPr>
              <w:t>the</w:t>
            </w:r>
            <w:r>
              <w:rPr>
                <w:spacing w:val="-5"/>
                <w:sz w:val="20"/>
              </w:rPr>
              <w:t> </w:t>
            </w:r>
            <w:r>
              <w:rPr>
                <w:sz w:val="20"/>
              </w:rPr>
              <w:t>School,</w:t>
            </w:r>
          </w:p>
        </w:tc>
      </w:tr>
    </w:tbl>
    <w:p>
      <w:pPr>
        <w:spacing w:after="0"/>
        <w:rPr>
          <w:sz w:val="20"/>
        </w:rPr>
        <w:sectPr>
          <w:pgSz w:w="15840" w:h="12240" w:orient="landscape"/>
          <w:pgMar w:header="0" w:footer="1783" w:top="1380" w:bottom="1980" w:left="1340" w:right="1520"/>
        </w:sectPr>
      </w:pPr>
    </w:p>
    <w:p>
      <w:pPr>
        <w:pStyle w:val="BodyText"/>
        <w:spacing w:before="11"/>
        <w:rPr>
          <w:sz w:val="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5488"/>
        <w:gridCol w:w="5963"/>
      </w:tblGrid>
      <w:tr>
        <w:trPr>
          <w:trHeight w:val="1070" w:hRule="atLeast"/>
        </w:trPr>
        <w:tc>
          <w:tcPr>
            <w:tcW w:w="986" w:type="dxa"/>
          </w:tcPr>
          <w:p>
            <w:pPr>
              <w:pStyle w:val="TableParagraph"/>
              <w:rPr>
                <w:rFonts w:ascii="Times New Roman"/>
                <w:sz w:val="18"/>
              </w:rPr>
            </w:pPr>
          </w:p>
        </w:tc>
        <w:tc>
          <w:tcPr>
            <w:tcW w:w="5488" w:type="dxa"/>
          </w:tcPr>
          <w:p>
            <w:pPr>
              <w:pStyle w:val="TableParagraph"/>
              <w:spacing w:before="1"/>
              <w:ind w:left="105" w:right="194"/>
              <w:rPr>
                <w:sz w:val="20"/>
              </w:rPr>
            </w:pPr>
            <w:r>
              <w:rPr>
                <w:sz w:val="20"/>
              </w:rPr>
              <w:t>example</w:t>
            </w:r>
            <w:r>
              <w:rPr>
                <w:spacing w:val="-6"/>
                <w:sz w:val="20"/>
              </w:rPr>
              <w:t> </w:t>
            </w:r>
            <w:r>
              <w:rPr>
                <w:sz w:val="20"/>
              </w:rPr>
              <w:t>of</w:t>
            </w:r>
            <w:r>
              <w:rPr>
                <w:spacing w:val="-6"/>
                <w:sz w:val="20"/>
              </w:rPr>
              <w:t> </w:t>
            </w:r>
            <w:r>
              <w:rPr>
                <w:sz w:val="20"/>
              </w:rPr>
              <w:t>excellence)</w:t>
            </w:r>
            <w:r>
              <w:rPr>
                <w:spacing w:val="-5"/>
                <w:sz w:val="20"/>
              </w:rPr>
              <w:t> </w:t>
            </w:r>
            <w:r>
              <w:rPr>
                <w:sz w:val="20"/>
              </w:rPr>
              <w:t>or</w:t>
            </w:r>
            <w:r>
              <w:rPr>
                <w:spacing w:val="-5"/>
                <w:sz w:val="20"/>
              </w:rPr>
              <w:t> </w:t>
            </w:r>
            <w:r>
              <w:rPr>
                <w:sz w:val="20"/>
              </w:rPr>
              <w:t>other</w:t>
            </w:r>
            <w:r>
              <w:rPr>
                <w:spacing w:val="-5"/>
                <w:sz w:val="20"/>
              </w:rPr>
              <w:t> </w:t>
            </w:r>
            <w:r>
              <w:rPr>
                <w:sz w:val="20"/>
              </w:rPr>
              <w:t>teaching</w:t>
            </w:r>
            <w:r>
              <w:rPr>
                <w:spacing w:val="-5"/>
                <w:sz w:val="20"/>
              </w:rPr>
              <w:t> </w:t>
            </w:r>
            <w:r>
              <w:rPr>
                <w:sz w:val="20"/>
              </w:rPr>
              <w:t>awards</w:t>
            </w:r>
            <w:r>
              <w:rPr>
                <w:spacing w:val="-4"/>
                <w:sz w:val="20"/>
              </w:rPr>
              <w:t> </w:t>
            </w:r>
            <w:r>
              <w:rPr>
                <w:sz w:val="20"/>
              </w:rPr>
              <w:t>are</w:t>
            </w:r>
            <w:r>
              <w:rPr>
                <w:spacing w:val="-6"/>
                <w:sz w:val="20"/>
              </w:rPr>
              <w:t> </w:t>
            </w:r>
            <w:r>
              <w:rPr>
                <w:sz w:val="20"/>
              </w:rPr>
              <w:t>examples of dissemination.</w:t>
            </w:r>
            <w:r>
              <w:rPr>
                <w:spacing w:val="40"/>
                <w:sz w:val="20"/>
              </w:rPr>
              <w:t> </w:t>
            </w:r>
            <w:r>
              <w:rPr>
                <w:sz w:val="20"/>
              </w:rPr>
              <w:t>Workshops can be internal to the School, internal to the campus, or external to the campus.</w:t>
            </w:r>
          </w:p>
        </w:tc>
        <w:tc>
          <w:tcPr>
            <w:tcW w:w="5963" w:type="dxa"/>
          </w:tcPr>
          <w:p>
            <w:pPr>
              <w:pStyle w:val="TableParagraph"/>
              <w:spacing w:before="1"/>
              <w:ind w:left="108"/>
              <w:rPr>
                <w:sz w:val="20"/>
              </w:rPr>
            </w:pPr>
            <w:r>
              <w:rPr>
                <w:sz w:val="20"/>
              </w:rPr>
              <w:t>internal</w:t>
            </w:r>
            <w:r>
              <w:rPr>
                <w:spacing w:val="-4"/>
                <w:sz w:val="20"/>
              </w:rPr>
              <w:t> </w:t>
            </w:r>
            <w:r>
              <w:rPr>
                <w:sz w:val="20"/>
              </w:rPr>
              <w:t>to</w:t>
            </w:r>
            <w:r>
              <w:rPr>
                <w:spacing w:val="-4"/>
                <w:sz w:val="20"/>
              </w:rPr>
              <w:t> </w:t>
            </w:r>
            <w:r>
              <w:rPr>
                <w:sz w:val="20"/>
              </w:rPr>
              <w:t>the</w:t>
            </w:r>
            <w:r>
              <w:rPr>
                <w:spacing w:val="-5"/>
                <w:sz w:val="20"/>
              </w:rPr>
              <w:t> </w:t>
            </w:r>
            <w:r>
              <w:rPr>
                <w:sz w:val="20"/>
              </w:rPr>
              <w:t>campus,</w:t>
            </w:r>
            <w:r>
              <w:rPr>
                <w:spacing w:val="-3"/>
                <w:sz w:val="20"/>
              </w:rPr>
              <w:t> </w:t>
            </w:r>
            <w:r>
              <w:rPr>
                <w:sz w:val="20"/>
              </w:rPr>
              <w:t>or</w:t>
            </w:r>
            <w:r>
              <w:rPr>
                <w:spacing w:val="-4"/>
                <w:sz w:val="20"/>
              </w:rPr>
              <w:t> </w:t>
            </w:r>
            <w:r>
              <w:rPr>
                <w:sz w:val="20"/>
              </w:rPr>
              <w:t>external</w:t>
            </w:r>
            <w:r>
              <w:rPr>
                <w:spacing w:val="-3"/>
                <w:sz w:val="20"/>
              </w:rPr>
              <w:t> </w:t>
            </w:r>
            <w:r>
              <w:rPr>
                <w:sz w:val="20"/>
              </w:rPr>
              <w:t>to</w:t>
            </w:r>
            <w:r>
              <w:rPr>
                <w:spacing w:val="-4"/>
                <w:sz w:val="20"/>
              </w:rPr>
              <w:t> </w:t>
            </w:r>
            <w:r>
              <w:rPr>
                <w:sz w:val="20"/>
              </w:rPr>
              <w:t>the</w:t>
            </w:r>
            <w:r>
              <w:rPr>
                <w:spacing w:val="-5"/>
                <w:sz w:val="20"/>
              </w:rPr>
              <w:t> </w:t>
            </w:r>
            <w:r>
              <w:rPr>
                <w:spacing w:val="-2"/>
                <w:sz w:val="20"/>
              </w:rPr>
              <w:t>campus.</w:t>
            </w:r>
          </w:p>
        </w:tc>
      </w:tr>
      <w:tr>
        <w:trPr>
          <w:trHeight w:val="1465" w:hRule="atLeast"/>
        </w:trPr>
        <w:tc>
          <w:tcPr>
            <w:tcW w:w="986" w:type="dxa"/>
          </w:tcPr>
          <w:p>
            <w:pPr>
              <w:pStyle w:val="TableParagraph"/>
              <w:rPr>
                <w:rFonts w:ascii="Times New Roman"/>
                <w:sz w:val="18"/>
              </w:rPr>
            </w:pPr>
          </w:p>
        </w:tc>
        <w:tc>
          <w:tcPr>
            <w:tcW w:w="5488" w:type="dxa"/>
          </w:tcPr>
          <w:p>
            <w:pPr>
              <w:pStyle w:val="TableParagraph"/>
              <w:spacing w:before="1"/>
              <w:ind w:left="105" w:right="80"/>
              <w:rPr>
                <w:sz w:val="20"/>
              </w:rPr>
            </w:pPr>
            <w:r>
              <w:rPr>
                <w:b/>
                <w:sz w:val="20"/>
              </w:rPr>
              <w:t>Service Learning </w:t>
            </w:r>
            <w:r>
              <w:rPr>
                <w:sz w:val="20"/>
              </w:rPr>
              <w:t>engages local businesses and non-profit organizations, disseminates teaching techniques, and engages the community in the educational process, while promoting students for future employment in the community, and documentation</w:t>
            </w:r>
            <w:r>
              <w:rPr>
                <w:spacing w:val="-4"/>
                <w:sz w:val="20"/>
              </w:rPr>
              <w:t> </w:t>
            </w:r>
            <w:r>
              <w:rPr>
                <w:sz w:val="20"/>
              </w:rPr>
              <w:t>of</w:t>
            </w:r>
            <w:r>
              <w:rPr>
                <w:spacing w:val="-6"/>
                <w:sz w:val="20"/>
              </w:rPr>
              <w:t> </w:t>
            </w:r>
            <w:r>
              <w:rPr>
                <w:sz w:val="20"/>
              </w:rPr>
              <w:t>impact</w:t>
            </w:r>
            <w:r>
              <w:rPr>
                <w:spacing w:val="-5"/>
                <w:sz w:val="20"/>
              </w:rPr>
              <w:t> </w:t>
            </w:r>
            <w:r>
              <w:rPr>
                <w:sz w:val="20"/>
              </w:rPr>
              <w:t>can</w:t>
            </w:r>
            <w:r>
              <w:rPr>
                <w:spacing w:val="-4"/>
                <w:sz w:val="20"/>
              </w:rPr>
              <w:t> </w:t>
            </w:r>
            <w:r>
              <w:rPr>
                <w:sz w:val="20"/>
              </w:rPr>
              <w:t>be</w:t>
            </w:r>
            <w:r>
              <w:rPr>
                <w:spacing w:val="-6"/>
                <w:sz w:val="20"/>
              </w:rPr>
              <w:t> </w:t>
            </w:r>
            <w:r>
              <w:rPr>
                <w:sz w:val="20"/>
              </w:rPr>
              <w:t>viewed</w:t>
            </w:r>
            <w:r>
              <w:rPr>
                <w:spacing w:val="-4"/>
                <w:sz w:val="20"/>
              </w:rPr>
              <w:t> </w:t>
            </w:r>
            <w:r>
              <w:rPr>
                <w:sz w:val="20"/>
              </w:rPr>
              <w:t>as</w:t>
            </w:r>
            <w:r>
              <w:rPr>
                <w:spacing w:val="-4"/>
                <w:sz w:val="20"/>
              </w:rPr>
              <w:t> </w:t>
            </w:r>
            <w:r>
              <w:rPr>
                <w:sz w:val="20"/>
              </w:rPr>
              <w:t>public</w:t>
            </w:r>
            <w:r>
              <w:rPr>
                <w:spacing w:val="-5"/>
                <w:sz w:val="20"/>
              </w:rPr>
              <w:t> </w:t>
            </w:r>
            <w:r>
              <w:rPr>
                <w:sz w:val="20"/>
              </w:rPr>
              <w:t>dissemination.</w:t>
            </w:r>
          </w:p>
        </w:tc>
        <w:tc>
          <w:tcPr>
            <w:tcW w:w="5963" w:type="dxa"/>
          </w:tcPr>
          <w:p>
            <w:pPr>
              <w:pStyle w:val="TableParagraph"/>
              <w:spacing w:before="1"/>
              <w:ind w:left="108" w:right="95"/>
              <w:rPr>
                <w:sz w:val="20"/>
              </w:rPr>
            </w:pPr>
            <w:r>
              <w:rPr>
                <w:b/>
                <w:sz w:val="20"/>
              </w:rPr>
              <w:t>Service Learning </w:t>
            </w:r>
            <w:r>
              <w:rPr>
                <w:sz w:val="20"/>
              </w:rPr>
              <w:t>engages local businesses and non-profit organizations,</w:t>
            </w:r>
            <w:r>
              <w:rPr>
                <w:spacing w:val="-5"/>
                <w:sz w:val="20"/>
              </w:rPr>
              <w:t> </w:t>
            </w:r>
            <w:r>
              <w:rPr>
                <w:sz w:val="20"/>
              </w:rPr>
              <w:t>disseminating</w:t>
            </w:r>
            <w:r>
              <w:rPr>
                <w:spacing w:val="-6"/>
                <w:sz w:val="20"/>
              </w:rPr>
              <w:t> </w:t>
            </w:r>
            <w:r>
              <w:rPr>
                <w:sz w:val="20"/>
              </w:rPr>
              <w:t>services</w:t>
            </w:r>
            <w:r>
              <w:rPr>
                <w:spacing w:val="-5"/>
                <w:sz w:val="20"/>
              </w:rPr>
              <w:t> </w:t>
            </w:r>
            <w:r>
              <w:rPr>
                <w:sz w:val="20"/>
              </w:rPr>
              <w:t>and</w:t>
            </w:r>
            <w:r>
              <w:rPr>
                <w:spacing w:val="-5"/>
                <w:sz w:val="20"/>
              </w:rPr>
              <w:t> </w:t>
            </w:r>
            <w:r>
              <w:rPr>
                <w:sz w:val="20"/>
              </w:rPr>
              <w:t>engaging</w:t>
            </w:r>
            <w:r>
              <w:rPr>
                <w:spacing w:val="-6"/>
                <w:sz w:val="20"/>
              </w:rPr>
              <w:t> </w:t>
            </w:r>
            <w:r>
              <w:rPr>
                <w:sz w:val="20"/>
              </w:rPr>
              <w:t>the</w:t>
            </w:r>
            <w:r>
              <w:rPr>
                <w:spacing w:val="-7"/>
                <w:sz w:val="20"/>
              </w:rPr>
              <w:t> </w:t>
            </w:r>
            <w:r>
              <w:rPr>
                <w:sz w:val="20"/>
              </w:rPr>
              <w:t>community</w:t>
            </w:r>
            <w:r>
              <w:rPr>
                <w:spacing w:val="-5"/>
                <w:sz w:val="20"/>
              </w:rPr>
              <w:t> </w:t>
            </w:r>
            <w:r>
              <w:rPr>
                <w:sz w:val="20"/>
              </w:rPr>
              <w:t>in the educational process, while promoting students for future employment</w:t>
            </w:r>
            <w:r>
              <w:rPr>
                <w:spacing w:val="-4"/>
                <w:sz w:val="20"/>
              </w:rPr>
              <w:t> </w:t>
            </w:r>
            <w:r>
              <w:rPr>
                <w:sz w:val="20"/>
              </w:rPr>
              <w:t>in</w:t>
            </w:r>
            <w:r>
              <w:rPr>
                <w:spacing w:val="-3"/>
                <w:sz w:val="20"/>
              </w:rPr>
              <w:t> </w:t>
            </w:r>
            <w:r>
              <w:rPr>
                <w:sz w:val="20"/>
              </w:rPr>
              <w:t>the</w:t>
            </w:r>
            <w:r>
              <w:rPr>
                <w:spacing w:val="-5"/>
                <w:sz w:val="20"/>
              </w:rPr>
              <w:t> </w:t>
            </w:r>
            <w:r>
              <w:rPr>
                <w:sz w:val="20"/>
              </w:rPr>
              <w:t>community,</w:t>
            </w:r>
            <w:r>
              <w:rPr>
                <w:spacing w:val="-3"/>
                <w:sz w:val="20"/>
              </w:rPr>
              <w:t> </w:t>
            </w:r>
            <w:r>
              <w:rPr>
                <w:sz w:val="20"/>
              </w:rPr>
              <w:t>and</w:t>
            </w:r>
            <w:r>
              <w:rPr>
                <w:spacing w:val="-6"/>
                <w:sz w:val="20"/>
              </w:rPr>
              <w:t> </w:t>
            </w:r>
            <w:r>
              <w:rPr>
                <w:sz w:val="20"/>
              </w:rPr>
              <w:t>documentation</w:t>
            </w:r>
            <w:r>
              <w:rPr>
                <w:spacing w:val="-3"/>
                <w:sz w:val="20"/>
              </w:rPr>
              <w:t> </w:t>
            </w:r>
            <w:r>
              <w:rPr>
                <w:sz w:val="20"/>
              </w:rPr>
              <w:t>of</w:t>
            </w:r>
            <w:r>
              <w:rPr>
                <w:spacing w:val="-5"/>
                <w:sz w:val="20"/>
              </w:rPr>
              <w:t> </w:t>
            </w:r>
            <w:r>
              <w:rPr>
                <w:sz w:val="20"/>
              </w:rPr>
              <w:t>impact</w:t>
            </w:r>
            <w:r>
              <w:rPr>
                <w:spacing w:val="-4"/>
                <w:sz w:val="20"/>
              </w:rPr>
              <w:t> </w:t>
            </w:r>
            <w:r>
              <w:rPr>
                <w:sz w:val="20"/>
              </w:rPr>
              <w:t>can</w:t>
            </w:r>
            <w:r>
              <w:rPr>
                <w:spacing w:val="-3"/>
                <w:sz w:val="20"/>
              </w:rPr>
              <w:t> </w:t>
            </w:r>
            <w:r>
              <w:rPr>
                <w:sz w:val="20"/>
              </w:rPr>
              <w:t>be viewed as public dissemination.</w:t>
            </w:r>
          </w:p>
        </w:tc>
      </w:tr>
      <w:tr>
        <w:trPr>
          <w:trHeight w:val="1070" w:hRule="atLeast"/>
        </w:trPr>
        <w:tc>
          <w:tcPr>
            <w:tcW w:w="986" w:type="dxa"/>
          </w:tcPr>
          <w:p>
            <w:pPr>
              <w:pStyle w:val="TableParagraph"/>
              <w:rPr>
                <w:rFonts w:ascii="Times New Roman"/>
                <w:sz w:val="18"/>
              </w:rPr>
            </w:pPr>
          </w:p>
        </w:tc>
        <w:tc>
          <w:tcPr>
            <w:tcW w:w="5488" w:type="dxa"/>
          </w:tcPr>
          <w:p>
            <w:pPr>
              <w:pStyle w:val="TableParagraph"/>
              <w:ind w:left="105" w:right="148"/>
              <w:jc w:val="both"/>
              <w:rPr>
                <w:sz w:val="20"/>
              </w:rPr>
            </w:pPr>
            <w:r>
              <w:rPr>
                <w:b/>
                <w:sz w:val="20"/>
              </w:rPr>
              <w:t>Materials </w:t>
            </w:r>
            <w:r>
              <w:rPr>
                <w:sz w:val="20"/>
              </w:rPr>
              <w:t>that are innovative</w:t>
            </w:r>
            <w:r>
              <w:rPr>
                <w:spacing w:val="-1"/>
                <w:sz w:val="20"/>
              </w:rPr>
              <w:t> </w:t>
            </w:r>
            <w:r>
              <w:rPr>
                <w:sz w:val="20"/>
              </w:rPr>
              <w:t>and used beyond campus: videos, CDs,</w:t>
            </w:r>
            <w:r>
              <w:rPr>
                <w:spacing w:val="-4"/>
                <w:sz w:val="20"/>
              </w:rPr>
              <w:t> </w:t>
            </w:r>
            <w:r>
              <w:rPr>
                <w:sz w:val="20"/>
              </w:rPr>
              <w:t>modules</w:t>
            </w:r>
            <w:r>
              <w:rPr>
                <w:spacing w:val="-4"/>
                <w:sz w:val="20"/>
              </w:rPr>
              <w:t> </w:t>
            </w:r>
            <w:r>
              <w:rPr>
                <w:sz w:val="20"/>
              </w:rPr>
              <w:t>with</w:t>
            </w:r>
            <w:r>
              <w:rPr>
                <w:spacing w:val="-4"/>
                <w:sz w:val="20"/>
              </w:rPr>
              <w:t> </w:t>
            </w:r>
            <w:r>
              <w:rPr>
                <w:sz w:val="20"/>
              </w:rPr>
              <w:t>reviews</w:t>
            </w:r>
            <w:r>
              <w:rPr>
                <w:spacing w:val="-4"/>
                <w:sz w:val="20"/>
              </w:rPr>
              <w:t> </w:t>
            </w:r>
            <w:r>
              <w:rPr>
                <w:sz w:val="20"/>
              </w:rPr>
              <w:t>or</w:t>
            </w:r>
            <w:r>
              <w:rPr>
                <w:spacing w:val="-5"/>
                <w:sz w:val="20"/>
              </w:rPr>
              <w:t> </w:t>
            </w:r>
            <w:r>
              <w:rPr>
                <w:sz w:val="20"/>
              </w:rPr>
              <w:t>data</w:t>
            </w:r>
            <w:r>
              <w:rPr>
                <w:spacing w:val="-4"/>
                <w:sz w:val="20"/>
              </w:rPr>
              <w:t> </w:t>
            </w:r>
            <w:r>
              <w:rPr>
                <w:sz w:val="20"/>
              </w:rPr>
              <w:t>that</w:t>
            </w:r>
            <w:r>
              <w:rPr>
                <w:spacing w:val="-5"/>
                <w:sz w:val="20"/>
              </w:rPr>
              <w:t> </w:t>
            </w:r>
            <w:r>
              <w:rPr>
                <w:sz w:val="20"/>
              </w:rPr>
              <w:t>demonstrate</w:t>
            </w:r>
            <w:r>
              <w:rPr>
                <w:spacing w:val="-6"/>
                <w:sz w:val="20"/>
              </w:rPr>
              <w:t> </w:t>
            </w:r>
            <w:r>
              <w:rPr>
                <w:sz w:val="20"/>
              </w:rPr>
              <w:t>impact</w:t>
            </w:r>
            <w:r>
              <w:rPr>
                <w:spacing w:val="-5"/>
                <w:sz w:val="20"/>
              </w:rPr>
              <w:t> </w:t>
            </w:r>
            <w:r>
              <w:rPr>
                <w:sz w:val="20"/>
              </w:rPr>
              <w:t>can be viewed as public dissemination.</w:t>
            </w:r>
          </w:p>
        </w:tc>
        <w:tc>
          <w:tcPr>
            <w:tcW w:w="5963" w:type="dxa"/>
          </w:tcPr>
          <w:p>
            <w:pPr>
              <w:pStyle w:val="TableParagraph"/>
              <w:ind w:left="108" w:right="95"/>
              <w:rPr>
                <w:sz w:val="20"/>
              </w:rPr>
            </w:pPr>
            <w:r>
              <w:rPr>
                <w:b/>
                <w:sz w:val="20"/>
              </w:rPr>
              <w:t>Materials </w:t>
            </w:r>
            <w:r>
              <w:rPr>
                <w:sz w:val="20"/>
              </w:rPr>
              <w:t>that are innovative and used beyond campus: videos, CDs, modules</w:t>
            </w:r>
            <w:r>
              <w:rPr>
                <w:spacing w:val="-4"/>
                <w:sz w:val="20"/>
              </w:rPr>
              <w:t> </w:t>
            </w:r>
            <w:r>
              <w:rPr>
                <w:sz w:val="20"/>
              </w:rPr>
              <w:t>with</w:t>
            </w:r>
            <w:r>
              <w:rPr>
                <w:spacing w:val="-4"/>
                <w:sz w:val="20"/>
              </w:rPr>
              <w:t> </w:t>
            </w:r>
            <w:r>
              <w:rPr>
                <w:sz w:val="20"/>
              </w:rPr>
              <w:t>reviews</w:t>
            </w:r>
            <w:r>
              <w:rPr>
                <w:spacing w:val="-4"/>
                <w:sz w:val="20"/>
              </w:rPr>
              <w:t> </w:t>
            </w:r>
            <w:r>
              <w:rPr>
                <w:sz w:val="20"/>
              </w:rPr>
              <w:t>or</w:t>
            </w:r>
            <w:r>
              <w:rPr>
                <w:spacing w:val="-5"/>
                <w:sz w:val="20"/>
              </w:rPr>
              <w:t> </w:t>
            </w:r>
            <w:r>
              <w:rPr>
                <w:sz w:val="20"/>
              </w:rPr>
              <w:t>data</w:t>
            </w:r>
            <w:r>
              <w:rPr>
                <w:spacing w:val="-7"/>
                <w:sz w:val="20"/>
              </w:rPr>
              <w:t> </w:t>
            </w:r>
            <w:r>
              <w:rPr>
                <w:sz w:val="20"/>
              </w:rPr>
              <w:t>that</w:t>
            </w:r>
            <w:r>
              <w:rPr>
                <w:spacing w:val="-5"/>
                <w:sz w:val="20"/>
              </w:rPr>
              <w:t> </w:t>
            </w:r>
            <w:r>
              <w:rPr>
                <w:sz w:val="20"/>
              </w:rPr>
              <w:t>demonstrate</w:t>
            </w:r>
            <w:r>
              <w:rPr>
                <w:spacing w:val="-6"/>
                <w:sz w:val="20"/>
              </w:rPr>
              <w:t> </w:t>
            </w:r>
            <w:r>
              <w:rPr>
                <w:sz w:val="20"/>
              </w:rPr>
              <w:t>impact</w:t>
            </w:r>
            <w:r>
              <w:rPr>
                <w:spacing w:val="-5"/>
                <w:sz w:val="20"/>
              </w:rPr>
              <w:t> </w:t>
            </w:r>
            <w:r>
              <w:rPr>
                <w:sz w:val="20"/>
              </w:rPr>
              <w:t>can</w:t>
            </w:r>
            <w:r>
              <w:rPr>
                <w:spacing w:val="-4"/>
                <w:sz w:val="20"/>
              </w:rPr>
              <w:t> </w:t>
            </w:r>
            <w:r>
              <w:rPr>
                <w:sz w:val="20"/>
              </w:rPr>
              <w:t>be</w:t>
            </w:r>
            <w:r>
              <w:rPr>
                <w:spacing w:val="-6"/>
                <w:sz w:val="20"/>
              </w:rPr>
              <w:t> </w:t>
            </w:r>
            <w:r>
              <w:rPr>
                <w:sz w:val="20"/>
              </w:rPr>
              <w:t>viewed as public dissemination.</w:t>
            </w:r>
          </w:p>
        </w:tc>
      </w:tr>
      <w:tr>
        <w:trPr>
          <w:trHeight w:val="1070" w:hRule="atLeast"/>
        </w:trPr>
        <w:tc>
          <w:tcPr>
            <w:tcW w:w="986" w:type="dxa"/>
          </w:tcPr>
          <w:p>
            <w:pPr>
              <w:pStyle w:val="TableParagraph"/>
              <w:rPr>
                <w:rFonts w:ascii="Times New Roman"/>
                <w:sz w:val="18"/>
              </w:rPr>
            </w:pPr>
          </w:p>
        </w:tc>
        <w:tc>
          <w:tcPr>
            <w:tcW w:w="5488" w:type="dxa"/>
          </w:tcPr>
          <w:p>
            <w:pPr>
              <w:pStyle w:val="TableParagraph"/>
              <w:rPr>
                <w:rFonts w:ascii="Times New Roman"/>
                <w:sz w:val="18"/>
              </w:rPr>
            </w:pPr>
          </w:p>
        </w:tc>
        <w:tc>
          <w:tcPr>
            <w:tcW w:w="5963" w:type="dxa"/>
          </w:tcPr>
          <w:p>
            <w:pPr>
              <w:pStyle w:val="TableParagraph"/>
              <w:ind w:left="108" w:right="371"/>
              <w:rPr>
                <w:sz w:val="20"/>
              </w:rPr>
            </w:pPr>
            <w:r>
              <w:rPr>
                <w:b/>
                <w:sz w:val="20"/>
              </w:rPr>
              <w:t>Serving</w:t>
            </w:r>
            <w:r>
              <w:rPr>
                <w:b/>
                <w:spacing w:val="-5"/>
                <w:sz w:val="20"/>
              </w:rPr>
              <w:t> </w:t>
            </w:r>
            <w:r>
              <w:rPr>
                <w:b/>
                <w:sz w:val="20"/>
              </w:rPr>
              <w:t>on</w:t>
            </w:r>
            <w:r>
              <w:rPr>
                <w:b/>
                <w:spacing w:val="-3"/>
                <w:sz w:val="20"/>
              </w:rPr>
              <w:t> </w:t>
            </w:r>
            <w:r>
              <w:rPr>
                <w:b/>
                <w:sz w:val="20"/>
              </w:rPr>
              <w:t>Boards</w:t>
            </w:r>
            <w:r>
              <w:rPr>
                <w:sz w:val="20"/>
              </w:rPr>
              <w:t>.</w:t>
            </w:r>
            <w:r>
              <w:rPr>
                <w:spacing w:val="-4"/>
                <w:sz w:val="20"/>
              </w:rPr>
              <w:t> </w:t>
            </w:r>
            <w:r>
              <w:rPr>
                <w:sz w:val="20"/>
              </w:rPr>
              <w:t>Being</w:t>
            </w:r>
            <w:r>
              <w:rPr>
                <w:spacing w:val="-4"/>
                <w:sz w:val="20"/>
              </w:rPr>
              <w:t> </w:t>
            </w:r>
            <w:r>
              <w:rPr>
                <w:sz w:val="20"/>
              </w:rPr>
              <w:t>asked</w:t>
            </w:r>
            <w:r>
              <w:rPr>
                <w:spacing w:val="-3"/>
                <w:sz w:val="20"/>
              </w:rPr>
              <w:t> </w:t>
            </w:r>
            <w:r>
              <w:rPr>
                <w:sz w:val="20"/>
              </w:rPr>
              <w:t>to</w:t>
            </w:r>
            <w:r>
              <w:rPr>
                <w:spacing w:val="-4"/>
                <w:sz w:val="20"/>
              </w:rPr>
              <w:t> </w:t>
            </w:r>
            <w:r>
              <w:rPr>
                <w:sz w:val="20"/>
              </w:rPr>
              <w:t>serve</w:t>
            </w:r>
            <w:r>
              <w:rPr>
                <w:spacing w:val="-5"/>
                <w:sz w:val="20"/>
              </w:rPr>
              <w:t> </w:t>
            </w:r>
            <w:r>
              <w:rPr>
                <w:sz w:val="20"/>
              </w:rPr>
              <w:t>on</w:t>
            </w:r>
            <w:r>
              <w:rPr>
                <w:spacing w:val="-3"/>
                <w:sz w:val="20"/>
              </w:rPr>
              <w:t> </w:t>
            </w:r>
            <w:r>
              <w:rPr>
                <w:sz w:val="20"/>
              </w:rPr>
              <w:t>boards</w:t>
            </w:r>
            <w:r>
              <w:rPr>
                <w:spacing w:val="-3"/>
                <w:sz w:val="20"/>
              </w:rPr>
              <w:t> </w:t>
            </w:r>
            <w:r>
              <w:rPr>
                <w:sz w:val="20"/>
              </w:rPr>
              <w:t>of</w:t>
            </w:r>
            <w:r>
              <w:rPr>
                <w:spacing w:val="-5"/>
                <w:sz w:val="20"/>
              </w:rPr>
              <w:t> </w:t>
            </w:r>
            <w:r>
              <w:rPr>
                <w:sz w:val="20"/>
              </w:rPr>
              <w:t>businesses</w:t>
            </w:r>
            <w:r>
              <w:rPr>
                <w:spacing w:val="-3"/>
                <w:sz w:val="20"/>
              </w:rPr>
              <w:t> </w:t>
            </w:r>
            <w:r>
              <w:rPr>
                <w:sz w:val="20"/>
              </w:rPr>
              <w:t>or non-profits can be viewed public dissemination of techniques or discipline specific material.</w:t>
            </w:r>
          </w:p>
        </w:tc>
      </w:tr>
      <w:tr>
        <w:trPr>
          <w:trHeight w:val="1953" w:hRule="atLeast"/>
        </w:trPr>
        <w:tc>
          <w:tcPr>
            <w:tcW w:w="986" w:type="dxa"/>
          </w:tcPr>
          <w:p>
            <w:pPr>
              <w:pStyle w:val="TableParagraph"/>
              <w:rPr>
                <w:rFonts w:ascii="Times New Roman"/>
                <w:sz w:val="18"/>
              </w:rPr>
            </w:pPr>
          </w:p>
        </w:tc>
        <w:tc>
          <w:tcPr>
            <w:tcW w:w="5488" w:type="dxa"/>
          </w:tcPr>
          <w:p>
            <w:pPr>
              <w:pStyle w:val="TableParagraph"/>
              <w:rPr>
                <w:rFonts w:ascii="Times New Roman"/>
                <w:sz w:val="18"/>
              </w:rPr>
            </w:pPr>
          </w:p>
        </w:tc>
        <w:tc>
          <w:tcPr>
            <w:tcW w:w="5963" w:type="dxa"/>
          </w:tcPr>
          <w:p>
            <w:pPr>
              <w:pStyle w:val="TableParagraph"/>
              <w:ind w:left="108" w:right="128"/>
              <w:rPr>
                <w:sz w:val="20"/>
              </w:rPr>
            </w:pPr>
            <w:r>
              <w:rPr>
                <w:b/>
                <w:sz w:val="20"/>
              </w:rPr>
              <w:t>Running or Establishing Programs for the University or Professional Organizations </w:t>
            </w:r>
            <w:r>
              <w:rPr>
                <w:sz w:val="20"/>
              </w:rPr>
              <w:t>engages university administration, faculty, and practitioners</w:t>
            </w:r>
            <w:r>
              <w:rPr>
                <w:spacing w:val="-4"/>
                <w:sz w:val="20"/>
              </w:rPr>
              <w:t> </w:t>
            </w:r>
            <w:r>
              <w:rPr>
                <w:sz w:val="20"/>
              </w:rPr>
              <w:t>in</w:t>
            </w:r>
            <w:r>
              <w:rPr>
                <w:spacing w:val="-4"/>
                <w:sz w:val="20"/>
              </w:rPr>
              <w:t> </w:t>
            </w:r>
            <w:r>
              <w:rPr>
                <w:sz w:val="20"/>
              </w:rPr>
              <w:t>service</w:t>
            </w:r>
            <w:r>
              <w:rPr>
                <w:spacing w:val="-5"/>
                <w:sz w:val="20"/>
              </w:rPr>
              <w:t> </w:t>
            </w:r>
            <w:r>
              <w:rPr>
                <w:sz w:val="20"/>
              </w:rPr>
              <w:t>and</w:t>
            </w:r>
            <w:r>
              <w:rPr>
                <w:spacing w:val="-4"/>
                <w:sz w:val="20"/>
              </w:rPr>
              <w:t> </w:t>
            </w:r>
            <w:r>
              <w:rPr>
                <w:sz w:val="20"/>
              </w:rPr>
              <w:t>engages</w:t>
            </w:r>
            <w:r>
              <w:rPr>
                <w:spacing w:val="-4"/>
                <w:sz w:val="20"/>
              </w:rPr>
              <w:t> </w:t>
            </w:r>
            <w:r>
              <w:rPr>
                <w:sz w:val="20"/>
              </w:rPr>
              <w:t>the</w:t>
            </w:r>
            <w:r>
              <w:rPr>
                <w:spacing w:val="-5"/>
                <w:sz w:val="20"/>
              </w:rPr>
              <w:t> </w:t>
            </w:r>
            <w:r>
              <w:rPr>
                <w:sz w:val="20"/>
              </w:rPr>
              <w:t>community</w:t>
            </w:r>
            <w:r>
              <w:rPr>
                <w:spacing w:val="-4"/>
                <w:sz w:val="20"/>
              </w:rPr>
              <w:t> </w:t>
            </w:r>
            <w:r>
              <w:rPr>
                <w:sz w:val="20"/>
              </w:rPr>
              <w:t>in</w:t>
            </w:r>
            <w:r>
              <w:rPr>
                <w:spacing w:val="-4"/>
                <w:sz w:val="20"/>
              </w:rPr>
              <w:t> </w:t>
            </w:r>
            <w:r>
              <w:rPr>
                <w:sz w:val="20"/>
              </w:rPr>
              <w:t>the</w:t>
            </w:r>
            <w:r>
              <w:rPr>
                <w:spacing w:val="-5"/>
                <w:sz w:val="20"/>
              </w:rPr>
              <w:t> </w:t>
            </w:r>
            <w:r>
              <w:rPr>
                <w:sz w:val="20"/>
              </w:rPr>
              <w:t>educational process. Presentations and reports on establishing or changing programs disseminates the concepts locally and perhaps regionally and nationally</w:t>
            </w:r>
            <w:r>
              <w:rPr>
                <w:spacing w:val="-2"/>
                <w:sz w:val="20"/>
              </w:rPr>
              <w:t> </w:t>
            </w:r>
            <w:r>
              <w:rPr>
                <w:sz w:val="20"/>
              </w:rPr>
              <w:t>as other</w:t>
            </w:r>
            <w:r>
              <w:rPr>
                <w:spacing w:val="-1"/>
                <w:sz w:val="20"/>
              </w:rPr>
              <w:t> </w:t>
            </w:r>
            <w:r>
              <w:rPr>
                <w:sz w:val="20"/>
              </w:rPr>
              <w:t>programs may adopt</w:t>
            </w:r>
            <w:r>
              <w:rPr>
                <w:spacing w:val="-1"/>
                <w:sz w:val="20"/>
              </w:rPr>
              <w:t> </w:t>
            </w:r>
            <w:r>
              <w:rPr>
                <w:sz w:val="20"/>
              </w:rPr>
              <w:t>or</w:t>
            </w:r>
            <w:r>
              <w:rPr>
                <w:spacing w:val="-1"/>
                <w:sz w:val="20"/>
              </w:rPr>
              <w:t> </w:t>
            </w:r>
            <w:r>
              <w:rPr>
                <w:sz w:val="20"/>
              </w:rPr>
              <w:t>follow</w:t>
            </w:r>
            <w:r>
              <w:rPr>
                <w:spacing w:val="-2"/>
                <w:sz w:val="20"/>
              </w:rPr>
              <w:t> </w:t>
            </w:r>
            <w:r>
              <w:rPr>
                <w:sz w:val="20"/>
              </w:rPr>
              <w:t>the</w:t>
            </w:r>
            <w:r>
              <w:rPr>
                <w:spacing w:val="-2"/>
                <w:sz w:val="20"/>
              </w:rPr>
              <w:t> </w:t>
            </w:r>
            <w:r>
              <w:rPr>
                <w:sz w:val="20"/>
              </w:rPr>
              <w:t>practices of our new programs.</w:t>
            </w:r>
          </w:p>
        </w:tc>
      </w:tr>
    </w:tbl>
    <w:p>
      <w:pPr>
        <w:spacing w:after="0"/>
        <w:rPr>
          <w:sz w:val="20"/>
        </w:rPr>
        <w:sectPr>
          <w:pgSz w:w="15840" w:h="12240" w:orient="landscape"/>
          <w:pgMar w:header="0" w:footer="1783" w:top="1380" w:bottom="1980" w:left="1340" w:right="1520"/>
        </w:sectPr>
      </w:pPr>
    </w:p>
    <w:p>
      <w:pPr>
        <w:pStyle w:val="BodyText"/>
        <w:spacing w:before="11"/>
        <w:rPr>
          <w:sz w:val="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5488"/>
        <w:gridCol w:w="5963"/>
      </w:tblGrid>
      <w:tr>
        <w:trPr>
          <w:trHeight w:val="2442" w:hRule="atLeast"/>
        </w:trPr>
        <w:tc>
          <w:tcPr>
            <w:tcW w:w="986" w:type="dxa"/>
          </w:tcPr>
          <w:p>
            <w:pPr>
              <w:pStyle w:val="TableParagraph"/>
              <w:rPr>
                <w:rFonts w:ascii="Times New Roman"/>
                <w:sz w:val="18"/>
              </w:rPr>
            </w:pPr>
          </w:p>
        </w:tc>
        <w:tc>
          <w:tcPr>
            <w:tcW w:w="5488" w:type="dxa"/>
          </w:tcPr>
          <w:p>
            <w:pPr>
              <w:pStyle w:val="TableParagraph"/>
              <w:spacing w:before="1"/>
              <w:ind w:left="105" w:right="124"/>
              <w:rPr>
                <w:b/>
                <w:sz w:val="20"/>
              </w:rPr>
            </w:pPr>
            <w:r>
              <w:rPr>
                <w:b/>
                <w:sz w:val="20"/>
              </w:rPr>
              <w:t>Promotion</w:t>
            </w:r>
            <w:r>
              <w:rPr>
                <w:b/>
                <w:spacing w:val="-5"/>
                <w:sz w:val="20"/>
              </w:rPr>
              <w:t> </w:t>
            </w:r>
            <w:r>
              <w:rPr>
                <w:b/>
                <w:sz w:val="20"/>
              </w:rPr>
              <w:t>from</w:t>
            </w:r>
            <w:r>
              <w:rPr>
                <w:b/>
                <w:spacing w:val="-5"/>
                <w:sz w:val="20"/>
              </w:rPr>
              <w:t> </w:t>
            </w:r>
            <w:r>
              <w:rPr>
                <w:b/>
                <w:sz w:val="20"/>
              </w:rPr>
              <w:t>Assistant</w:t>
            </w:r>
            <w:r>
              <w:rPr>
                <w:b/>
                <w:spacing w:val="-6"/>
                <w:sz w:val="20"/>
              </w:rPr>
              <w:t> </w:t>
            </w:r>
            <w:r>
              <w:rPr>
                <w:b/>
                <w:sz w:val="20"/>
              </w:rPr>
              <w:t>to</w:t>
            </w:r>
            <w:r>
              <w:rPr>
                <w:b/>
                <w:spacing w:val="-8"/>
                <w:sz w:val="20"/>
              </w:rPr>
              <w:t> </w:t>
            </w:r>
            <w:r>
              <w:rPr>
                <w:b/>
                <w:sz w:val="20"/>
              </w:rPr>
              <w:t>Associate</w:t>
            </w:r>
            <w:r>
              <w:rPr>
                <w:b/>
                <w:spacing w:val="-6"/>
                <w:sz w:val="20"/>
              </w:rPr>
              <w:t> </w:t>
            </w:r>
            <w:r>
              <w:rPr>
                <w:b/>
                <w:sz w:val="20"/>
              </w:rPr>
              <w:t>and</w:t>
            </w:r>
            <w:r>
              <w:rPr>
                <w:b/>
                <w:spacing w:val="-5"/>
                <w:sz w:val="20"/>
              </w:rPr>
              <w:t> </w:t>
            </w:r>
            <w:r>
              <w:rPr>
                <w:b/>
                <w:sz w:val="20"/>
              </w:rPr>
              <w:t>Promotion</w:t>
            </w:r>
            <w:r>
              <w:rPr>
                <w:b/>
                <w:spacing w:val="-5"/>
                <w:sz w:val="20"/>
              </w:rPr>
              <w:t> </w:t>
            </w:r>
            <w:r>
              <w:rPr>
                <w:b/>
                <w:sz w:val="20"/>
              </w:rPr>
              <w:t>from Associate to Full</w:t>
            </w:r>
          </w:p>
          <w:p>
            <w:pPr>
              <w:pStyle w:val="TableParagraph"/>
              <w:ind w:left="105" w:right="80"/>
              <w:rPr>
                <w:sz w:val="20"/>
              </w:rPr>
            </w:pPr>
            <w:r>
              <w:rPr>
                <w:sz w:val="20"/>
              </w:rPr>
              <w:t>No quantitative guidelines are used in total or in any one category. The faculty member should demonstrate how the scholarship of teaching reflects and supports the teaching mission. The faculty member should provide evidence of excellence</w:t>
            </w:r>
            <w:r>
              <w:rPr>
                <w:spacing w:val="-5"/>
                <w:sz w:val="20"/>
              </w:rPr>
              <w:t> </w:t>
            </w:r>
            <w:r>
              <w:rPr>
                <w:sz w:val="20"/>
              </w:rPr>
              <w:t>and</w:t>
            </w:r>
            <w:r>
              <w:rPr>
                <w:spacing w:val="-4"/>
                <w:sz w:val="20"/>
              </w:rPr>
              <w:t> </w:t>
            </w:r>
            <w:r>
              <w:rPr>
                <w:sz w:val="20"/>
              </w:rPr>
              <w:t>impact.</w:t>
            </w:r>
            <w:r>
              <w:rPr>
                <w:spacing w:val="-4"/>
                <w:sz w:val="20"/>
              </w:rPr>
              <w:t> </w:t>
            </w:r>
            <w:r>
              <w:rPr>
                <w:sz w:val="20"/>
              </w:rPr>
              <w:t>For</w:t>
            </w:r>
            <w:r>
              <w:rPr>
                <w:spacing w:val="-4"/>
                <w:sz w:val="20"/>
              </w:rPr>
              <w:t> </w:t>
            </w:r>
            <w:r>
              <w:rPr>
                <w:sz w:val="20"/>
              </w:rPr>
              <w:t>promotion</w:t>
            </w:r>
            <w:r>
              <w:rPr>
                <w:spacing w:val="-4"/>
                <w:sz w:val="20"/>
              </w:rPr>
              <w:t> </w:t>
            </w:r>
            <w:r>
              <w:rPr>
                <w:sz w:val="20"/>
              </w:rPr>
              <w:t>from</w:t>
            </w:r>
            <w:r>
              <w:rPr>
                <w:spacing w:val="-5"/>
                <w:sz w:val="20"/>
              </w:rPr>
              <w:t> </w:t>
            </w:r>
            <w:r>
              <w:rPr>
                <w:sz w:val="20"/>
              </w:rPr>
              <w:t>Associate</w:t>
            </w:r>
            <w:r>
              <w:rPr>
                <w:spacing w:val="-5"/>
                <w:sz w:val="20"/>
              </w:rPr>
              <w:t> </w:t>
            </w:r>
            <w:r>
              <w:rPr>
                <w:sz w:val="20"/>
              </w:rPr>
              <w:t>to</w:t>
            </w:r>
            <w:r>
              <w:rPr>
                <w:spacing w:val="-4"/>
                <w:sz w:val="20"/>
              </w:rPr>
              <w:t> </w:t>
            </w:r>
            <w:r>
              <w:rPr>
                <w:sz w:val="20"/>
              </w:rPr>
              <w:t>Full,</w:t>
            </w:r>
            <w:r>
              <w:rPr>
                <w:spacing w:val="-4"/>
                <w:sz w:val="20"/>
              </w:rPr>
              <w:t> </w:t>
            </w:r>
            <w:r>
              <w:rPr>
                <w:sz w:val="20"/>
              </w:rPr>
              <w:t>the faculty member should demonstrate a significant additional contribution since being promoted to Associate.</w:t>
            </w:r>
          </w:p>
        </w:tc>
        <w:tc>
          <w:tcPr>
            <w:tcW w:w="5963" w:type="dxa"/>
          </w:tcPr>
          <w:p>
            <w:pPr>
              <w:pStyle w:val="TableParagraph"/>
              <w:spacing w:before="1"/>
              <w:ind w:left="108" w:right="355"/>
              <w:rPr>
                <w:b/>
                <w:sz w:val="20"/>
              </w:rPr>
            </w:pPr>
            <w:r>
              <w:rPr>
                <w:b/>
                <w:sz w:val="20"/>
              </w:rPr>
              <w:t>Promotion</w:t>
            </w:r>
            <w:r>
              <w:rPr>
                <w:b/>
                <w:spacing w:val="-5"/>
                <w:sz w:val="20"/>
              </w:rPr>
              <w:t> </w:t>
            </w:r>
            <w:r>
              <w:rPr>
                <w:b/>
                <w:sz w:val="20"/>
              </w:rPr>
              <w:t>from</w:t>
            </w:r>
            <w:r>
              <w:rPr>
                <w:b/>
                <w:spacing w:val="-5"/>
                <w:sz w:val="20"/>
              </w:rPr>
              <w:t> </w:t>
            </w:r>
            <w:r>
              <w:rPr>
                <w:b/>
                <w:sz w:val="20"/>
              </w:rPr>
              <w:t>Assistant</w:t>
            </w:r>
            <w:r>
              <w:rPr>
                <w:b/>
                <w:spacing w:val="-6"/>
                <w:sz w:val="20"/>
              </w:rPr>
              <w:t> </w:t>
            </w:r>
            <w:r>
              <w:rPr>
                <w:b/>
                <w:sz w:val="20"/>
              </w:rPr>
              <w:t>to</w:t>
            </w:r>
            <w:r>
              <w:rPr>
                <w:b/>
                <w:spacing w:val="-8"/>
                <w:sz w:val="20"/>
              </w:rPr>
              <w:t> </w:t>
            </w:r>
            <w:r>
              <w:rPr>
                <w:b/>
                <w:sz w:val="20"/>
              </w:rPr>
              <w:t>Associate</w:t>
            </w:r>
            <w:r>
              <w:rPr>
                <w:b/>
                <w:spacing w:val="-6"/>
                <w:sz w:val="20"/>
              </w:rPr>
              <w:t> </w:t>
            </w:r>
            <w:r>
              <w:rPr>
                <w:b/>
                <w:sz w:val="20"/>
              </w:rPr>
              <w:t>and</w:t>
            </w:r>
            <w:r>
              <w:rPr>
                <w:b/>
                <w:spacing w:val="-5"/>
                <w:sz w:val="20"/>
              </w:rPr>
              <w:t> </w:t>
            </w:r>
            <w:r>
              <w:rPr>
                <w:b/>
                <w:sz w:val="20"/>
              </w:rPr>
              <w:t>Promotion</w:t>
            </w:r>
            <w:r>
              <w:rPr>
                <w:b/>
                <w:spacing w:val="-5"/>
                <w:sz w:val="20"/>
              </w:rPr>
              <w:t> </w:t>
            </w:r>
            <w:r>
              <w:rPr>
                <w:b/>
                <w:sz w:val="20"/>
              </w:rPr>
              <w:t>from Associate to Full</w:t>
            </w:r>
          </w:p>
          <w:p>
            <w:pPr>
              <w:pStyle w:val="TableParagraph"/>
              <w:ind w:left="108" w:right="355"/>
              <w:rPr>
                <w:sz w:val="20"/>
              </w:rPr>
            </w:pPr>
            <w:r>
              <w:rPr>
                <w:sz w:val="20"/>
              </w:rPr>
              <w:t>No</w:t>
            </w:r>
            <w:r>
              <w:rPr>
                <w:spacing w:val="-4"/>
                <w:sz w:val="20"/>
              </w:rPr>
              <w:t> </w:t>
            </w:r>
            <w:r>
              <w:rPr>
                <w:sz w:val="20"/>
              </w:rPr>
              <w:t>quantitative</w:t>
            </w:r>
            <w:r>
              <w:rPr>
                <w:spacing w:val="-5"/>
                <w:sz w:val="20"/>
              </w:rPr>
              <w:t> </w:t>
            </w:r>
            <w:r>
              <w:rPr>
                <w:sz w:val="20"/>
              </w:rPr>
              <w:t>guidelines</w:t>
            </w:r>
            <w:r>
              <w:rPr>
                <w:spacing w:val="-3"/>
                <w:sz w:val="20"/>
              </w:rPr>
              <w:t> </w:t>
            </w:r>
            <w:r>
              <w:rPr>
                <w:sz w:val="20"/>
              </w:rPr>
              <w:t>are</w:t>
            </w:r>
            <w:r>
              <w:rPr>
                <w:spacing w:val="-2"/>
                <w:sz w:val="20"/>
              </w:rPr>
              <w:t> </w:t>
            </w:r>
            <w:r>
              <w:rPr>
                <w:sz w:val="20"/>
              </w:rPr>
              <w:t>used</w:t>
            </w:r>
            <w:r>
              <w:rPr>
                <w:spacing w:val="-3"/>
                <w:sz w:val="20"/>
              </w:rPr>
              <w:t> </w:t>
            </w:r>
            <w:r>
              <w:rPr>
                <w:sz w:val="20"/>
              </w:rPr>
              <w:t>in</w:t>
            </w:r>
            <w:r>
              <w:rPr>
                <w:spacing w:val="-3"/>
                <w:sz w:val="20"/>
              </w:rPr>
              <w:t> </w:t>
            </w:r>
            <w:r>
              <w:rPr>
                <w:sz w:val="20"/>
              </w:rPr>
              <w:t>total</w:t>
            </w:r>
            <w:r>
              <w:rPr>
                <w:spacing w:val="-4"/>
                <w:sz w:val="20"/>
              </w:rPr>
              <w:t> </w:t>
            </w:r>
            <w:r>
              <w:rPr>
                <w:sz w:val="20"/>
              </w:rPr>
              <w:t>or</w:t>
            </w:r>
            <w:r>
              <w:rPr>
                <w:spacing w:val="-4"/>
                <w:sz w:val="20"/>
              </w:rPr>
              <w:t> </w:t>
            </w:r>
            <w:r>
              <w:rPr>
                <w:sz w:val="20"/>
              </w:rPr>
              <w:t>in</w:t>
            </w:r>
            <w:r>
              <w:rPr>
                <w:spacing w:val="-3"/>
                <w:sz w:val="20"/>
              </w:rPr>
              <w:t> </w:t>
            </w:r>
            <w:r>
              <w:rPr>
                <w:sz w:val="20"/>
              </w:rPr>
              <w:t>any</w:t>
            </w:r>
            <w:r>
              <w:rPr>
                <w:spacing w:val="-3"/>
                <w:sz w:val="20"/>
              </w:rPr>
              <w:t> </w:t>
            </w:r>
            <w:r>
              <w:rPr>
                <w:sz w:val="20"/>
              </w:rPr>
              <w:t>one</w:t>
            </w:r>
            <w:r>
              <w:rPr>
                <w:spacing w:val="-5"/>
                <w:sz w:val="20"/>
              </w:rPr>
              <w:t> </w:t>
            </w:r>
            <w:r>
              <w:rPr>
                <w:sz w:val="20"/>
              </w:rPr>
              <w:t>category. The faculty member should demonstrate how the scholarship of teaching reflects and supports the teaching mission. The faculty member should provide evidence of excellence and impact. For promotion from Associate to Full, the faculty member should demonstrate a significant additional contribution since being promoted to Associate.</w:t>
            </w:r>
          </w:p>
        </w:tc>
      </w:tr>
    </w:tbl>
    <w:sectPr>
      <w:pgSz w:w="15840" w:h="12240" w:orient="landscape"/>
      <w:pgMar w:header="0" w:footer="1783" w:top="1380" w:bottom="198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5104">
              <wp:simplePos x="0" y="0"/>
              <wp:positionH relativeFrom="page">
                <wp:posOffset>6758940</wp:posOffset>
              </wp:positionH>
              <wp:positionV relativeFrom="page">
                <wp:posOffset>8786706</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11</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200012pt;margin-top:691.866638pt;width:19pt;height:15.3pt;mso-position-horizontal-relative:page;mso-position-vertical-relative:page;z-index:-16101376" type="#_x0000_t202" id="docshape1"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11</w:t>
                    </w:r>
                    <w:r>
                      <w:rPr>
                        <w:rFonts w:ascii="Times New Roman"/>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5616">
              <wp:simplePos x="0" y="0"/>
              <wp:positionH relativeFrom="page">
                <wp:posOffset>8953500</wp:posOffset>
              </wp:positionH>
              <wp:positionV relativeFrom="page">
                <wp:posOffset>6500706</wp:posOffset>
              </wp:positionV>
              <wp:extent cx="241300" cy="19431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41300" cy="194310"/>
                      </a:xfrm>
                      <a:prstGeom prst="rect">
                        <a:avLst/>
                      </a:prstGeom>
                    </wps:spPr>
                    <wps:txbx>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26</w:t>
                          </w:r>
                          <w:r>
                            <w:rPr>
                              <w:rFonts w:ascii="Times New Roman"/>
                              <w:spacing w:val="-5"/>
                            </w:rPr>
                            <w:fldChar w:fldCharType="end"/>
                          </w:r>
                        </w:p>
                      </w:txbxContent>
                    </wps:txbx>
                    <wps:bodyPr wrap="square" lIns="0" tIns="0" rIns="0" bIns="0" rtlCol="0">
                      <a:noAutofit/>
                    </wps:bodyPr>
                  </wps:wsp>
                </a:graphicData>
              </a:graphic>
            </wp:anchor>
          </w:drawing>
        </mc:Choice>
        <mc:Fallback>
          <w:pict>
            <v:shape style="position:absolute;margin-left:705pt;margin-top:511.866638pt;width:19pt;height:15.3pt;mso-position-horizontal-relative:page;mso-position-vertical-relative:page;z-index:-16100864" type="#_x0000_t202" id="docshape15"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26</w:t>
                    </w:r>
                    <w:r>
                      <w:rPr>
                        <w:rFonts w:ascii="Times New Roman"/>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829"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333" w:hanging="360"/>
      </w:pPr>
      <w:rPr>
        <w:rFonts w:hint="default"/>
        <w:lang w:val="en-US" w:eastAsia="en-US" w:bidi="ar-SA"/>
      </w:rPr>
    </w:lvl>
    <w:lvl w:ilvl="2">
      <w:start w:val="0"/>
      <w:numFmt w:val="bullet"/>
      <w:lvlText w:val="•"/>
      <w:lvlJc w:val="left"/>
      <w:pPr>
        <w:ind w:left="1846" w:hanging="360"/>
      </w:pPr>
      <w:rPr>
        <w:rFonts w:hint="default"/>
        <w:lang w:val="en-US" w:eastAsia="en-US" w:bidi="ar-SA"/>
      </w:rPr>
    </w:lvl>
    <w:lvl w:ilvl="3">
      <w:start w:val="0"/>
      <w:numFmt w:val="bullet"/>
      <w:lvlText w:val="•"/>
      <w:lvlJc w:val="left"/>
      <w:pPr>
        <w:ind w:left="2359" w:hanging="360"/>
      </w:pPr>
      <w:rPr>
        <w:rFonts w:hint="default"/>
        <w:lang w:val="en-US" w:eastAsia="en-US" w:bidi="ar-SA"/>
      </w:rPr>
    </w:lvl>
    <w:lvl w:ilvl="4">
      <w:start w:val="0"/>
      <w:numFmt w:val="bullet"/>
      <w:lvlText w:val="•"/>
      <w:lvlJc w:val="left"/>
      <w:pPr>
        <w:ind w:left="2873" w:hanging="360"/>
      </w:pPr>
      <w:rPr>
        <w:rFonts w:hint="default"/>
        <w:lang w:val="en-US" w:eastAsia="en-US" w:bidi="ar-SA"/>
      </w:rPr>
    </w:lvl>
    <w:lvl w:ilvl="5">
      <w:start w:val="0"/>
      <w:numFmt w:val="bullet"/>
      <w:lvlText w:val="•"/>
      <w:lvlJc w:val="left"/>
      <w:pPr>
        <w:ind w:left="3386" w:hanging="360"/>
      </w:pPr>
      <w:rPr>
        <w:rFonts w:hint="default"/>
        <w:lang w:val="en-US" w:eastAsia="en-US" w:bidi="ar-SA"/>
      </w:rPr>
    </w:lvl>
    <w:lvl w:ilvl="6">
      <w:start w:val="0"/>
      <w:numFmt w:val="bullet"/>
      <w:lvlText w:val="•"/>
      <w:lvlJc w:val="left"/>
      <w:pPr>
        <w:ind w:left="3899" w:hanging="360"/>
      </w:pPr>
      <w:rPr>
        <w:rFonts w:hint="default"/>
        <w:lang w:val="en-US" w:eastAsia="en-US" w:bidi="ar-SA"/>
      </w:rPr>
    </w:lvl>
    <w:lvl w:ilvl="7">
      <w:start w:val="0"/>
      <w:numFmt w:val="bullet"/>
      <w:lvlText w:val="•"/>
      <w:lvlJc w:val="left"/>
      <w:pPr>
        <w:ind w:left="4413" w:hanging="360"/>
      </w:pPr>
      <w:rPr>
        <w:rFonts w:hint="default"/>
        <w:lang w:val="en-US" w:eastAsia="en-US" w:bidi="ar-SA"/>
      </w:rPr>
    </w:lvl>
    <w:lvl w:ilvl="8">
      <w:start w:val="0"/>
      <w:numFmt w:val="bullet"/>
      <w:lvlText w:val="•"/>
      <w:lvlJc w:val="left"/>
      <w:pPr>
        <w:ind w:left="4926" w:hanging="360"/>
      </w:pPr>
      <w:rPr>
        <w:rFonts w:hint="default"/>
        <w:lang w:val="en-US" w:eastAsia="en-US" w:bidi="ar-SA"/>
      </w:rPr>
    </w:lvl>
  </w:abstractNum>
  <w:abstractNum w:abstractNumId="14">
    <w:multiLevelType w:val="hybridMultilevel"/>
    <w:lvl w:ilvl="0">
      <w:start w:val="0"/>
      <w:numFmt w:val="bullet"/>
      <w:lvlText w:val=""/>
      <w:lvlJc w:val="left"/>
      <w:pPr>
        <w:ind w:left="825"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85" w:hanging="360"/>
      </w:pPr>
      <w:rPr>
        <w:rFonts w:hint="default"/>
        <w:lang w:val="en-US" w:eastAsia="en-US" w:bidi="ar-SA"/>
      </w:rPr>
    </w:lvl>
    <w:lvl w:ilvl="2">
      <w:start w:val="0"/>
      <w:numFmt w:val="bullet"/>
      <w:lvlText w:val="•"/>
      <w:lvlJc w:val="left"/>
      <w:pPr>
        <w:ind w:left="1751" w:hanging="360"/>
      </w:pPr>
      <w:rPr>
        <w:rFonts w:hint="default"/>
        <w:lang w:val="en-US" w:eastAsia="en-US" w:bidi="ar-SA"/>
      </w:rPr>
    </w:lvl>
    <w:lvl w:ilvl="3">
      <w:start w:val="0"/>
      <w:numFmt w:val="bullet"/>
      <w:lvlText w:val="•"/>
      <w:lvlJc w:val="left"/>
      <w:pPr>
        <w:ind w:left="2217" w:hanging="360"/>
      </w:pPr>
      <w:rPr>
        <w:rFonts w:hint="default"/>
        <w:lang w:val="en-US" w:eastAsia="en-US" w:bidi="ar-SA"/>
      </w:rPr>
    </w:lvl>
    <w:lvl w:ilvl="4">
      <w:start w:val="0"/>
      <w:numFmt w:val="bullet"/>
      <w:lvlText w:val="•"/>
      <w:lvlJc w:val="left"/>
      <w:pPr>
        <w:ind w:left="2683" w:hanging="360"/>
      </w:pPr>
      <w:rPr>
        <w:rFonts w:hint="default"/>
        <w:lang w:val="en-US" w:eastAsia="en-US" w:bidi="ar-SA"/>
      </w:rPr>
    </w:lvl>
    <w:lvl w:ilvl="5">
      <w:start w:val="0"/>
      <w:numFmt w:val="bullet"/>
      <w:lvlText w:val="•"/>
      <w:lvlJc w:val="left"/>
      <w:pPr>
        <w:ind w:left="3149" w:hanging="360"/>
      </w:pPr>
      <w:rPr>
        <w:rFonts w:hint="default"/>
        <w:lang w:val="en-US" w:eastAsia="en-US" w:bidi="ar-SA"/>
      </w:rPr>
    </w:lvl>
    <w:lvl w:ilvl="6">
      <w:start w:val="0"/>
      <w:numFmt w:val="bullet"/>
      <w:lvlText w:val="•"/>
      <w:lvlJc w:val="left"/>
      <w:pPr>
        <w:ind w:left="3614" w:hanging="360"/>
      </w:pPr>
      <w:rPr>
        <w:rFonts w:hint="default"/>
        <w:lang w:val="en-US" w:eastAsia="en-US" w:bidi="ar-SA"/>
      </w:rPr>
    </w:lvl>
    <w:lvl w:ilvl="7">
      <w:start w:val="0"/>
      <w:numFmt w:val="bullet"/>
      <w:lvlText w:val="•"/>
      <w:lvlJc w:val="left"/>
      <w:pPr>
        <w:ind w:left="4080" w:hanging="360"/>
      </w:pPr>
      <w:rPr>
        <w:rFonts w:hint="default"/>
        <w:lang w:val="en-US" w:eastAsia="en-US" w:bidi="ar-SA"/>
      </w:rPr>
    </w:lvl>
    <w:lvl w:ilvl="8">
      <w:start w:val="0"/>
      <w:numFmt w:val="bullet"/>
      <w:lvlText w:val="•"/>
      <w:lvlJc w:val="left"/>
      <w:pPr>
        <w:ind w:left="4546" w:hanging="360"/>
      </w:pPr>
      <w:rPr>
        <w:rFonts w:hint="default"/>
        <w:lang w:val="en-US" w:eastAsia="en-US" w:bidi="ar-SA"/>
      </w:rPr>
    </w:lvl>
  </w:abstractNum>
  <w:abstractNum w:abstractNumId="13">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333" w:hanging="360"/>
      </w:pPr>
      <w:rPr>
        <w:rFonts w:hint="default"/>
        <w:lang w:val="en-US" w:eastAsia="en-US" w:bidi="ar-SA"/>
      </w:rPr>
    </w:lvl>
    <w:lvl w:ilvl="2">
      <w:start w:val="0"/>
      <w:numFmt w:val="bullet"/>
      <w:lvlText w:val="•"/>
      <w:lvlJc w:val="left"/>
      <w:pPr>
        <w:ind w:left="1846" w:hanging="360"/>
      </w:pPr>
      <w:rPr>
        <w:rFonts w:hint="default"/>
        <w:lang w:val="en-US" w:eastAsia="en-US" w:bidi="ar-SA"/>
      </w:rPr>
    </w:lvl>
    <w:lvl w:ilvl="3">
      <w:start w:val="0"/>
      <w:numFmt w:val="bullet"/>
      <w:lvlText w:val="•"/>
      <w:lvlJc w:val="left"/>
      <w:pPr>
        <w:ind w:left="2359" w:hanging="360"/>
      </w:pPr>
      <w:rPr>
        <w:rFonts w:hint="default"/>
        <w:lang w:val="en-US" w:eastAsia="en-US" w:bidi="ar-SA"/>
      </w:rPr>
    </w:lvl>
    <w:lvl w:ilvl="4">
      <w:start w:val="0"/>
      <w:numFmt w:val="bullet"/>
      <w:lvlText w:val="•"/>
      <w:lvlJc w:val="left"/>
      <w:pPr>
        <w:ind w:left="2873" w:hanging="360"/>
      </w:pPr>
      <w:rPr>
        <w:rFonts w:hint="default"/>
        <w:lang w:val="en-US" w:eastAsia="en-US" w:bidi="ar-SA"/>
      </w:rPr>
    </w:lvl>
    <w:lvl w:ilvl="5">
      <w:start w:val="0"/>
      <w:numFmt w:val="bullet"/>
      <w:lvlText w:val="•"/>
      <w:lvlJc w:val="left"/>
      <w:pPr>
        <w:ind w:left="3386" w:hanging="360"/>
      </w:pPr>
      <w:rPr>
        <w:rFonts w:hint="default"/>
        <w:lang w:val="en-US" w:eastAsia="en-US" w:bidi="ar-SA"/>
      </w:rPr>
    </w:lvl>
    <w:lvl w:ilvl="6">
      <w:start w:val="0"/>
      <w:numFmt w:val="bullet"/>
      <w:lvlText w:val="•"/>
      <w:lvlJc w:val="left"/>
      <w:pPr>
        <w:ind w:left="3899" w:hanging="360"/>
      </w:pPr>
      <w:rPr>
        <w:rFonts w:hint="default"/>
        <w:lang w:val="en-US" w:eastAsia="en-US" w:bidi="ar-SA"/>
      </w:rPr>
    </w:lvl>
    <w:lvl w:ilvl="7">
      <w:start w:val="0"/>
      <w:numFmt w:val="bullet"/>
      <w:lvlText w:val="•"/>
      <w:lvlJc w:val="left"/>
      <w:pPr>
        <w:ind w:left="4413" w:hanging="360"/>
      </w:pPr>
      <w:rPr>
        <w:rFonts w:hint="default"/>
        <w:lang w:val="en-US" w:eastAsia="en-US" w:bidi="ar-SA"/>
      </w:rPr>
    </w:lvl>
    <w:lvl w:ilvl="8">
      <w:start w:val="0"/>
      <w:numFmt w:val="bullet"/>
      <w:lvlText w:val="•"/>
      <w:lvlJc w:val="left"/>
      <w:pPr>
        <w:ind w:left="4926" w:hanging="360"/>
      </w:pPr>
      <w:rPr>
        <w:rFonts w:hint="default"/>
        <w:lang w:val="en-US" w:eastAsia="en-US" w:bidi="ar-SA"/>
      </w:rPr>
    </w:lvl>
  </w:abstractNum>
  <w:abstractNum w:abstractNumId="12">
    <w:multiLevelType w:val="hybridMultilevel"/>
    <w:lvl w:ilvl="0">
      <w:start w:val="0"/>
      <w:numFmt w:val="bullet"/>
      <w:lvlText w:val=""/>
      <w:lvlJc w:val="left"/>
      <w:pPr>
        <w:ind w:left="825"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85" w:hanging="360"/>
      </w:pPr>
      <w:rPr>
        <w:rFonts w:hint="default"/>
        <w:lang w:val="en-US" w:eastAsia="en-US" w:bidi="ar-SA"/>
      </w:rPr>
    </w:lvl>
    <w:lvl w:ilvl="2">
      <w:start w:val="0"/>
      <w:numFmt w:val="bullet"/>
      <w:lvlText w:val="•"/>
      <w:lvlJc w:val="left"/>
      <w:pPr>
        <w:ind w:left="1751" w:hanging="360"/>
      </w:pPr>
      <w:rPr>
        <w:rFonts w:hint="default"/>
        <w:lang w:val="en-US" w:eastAsia="en-US" w:bidi="ar-SA"/>
      </w:rPr>
    </w:lvl>
    <w:lvl w:ilvl="3">
      <w:start w:val="0"/>
      <w:numFmt w:val="bullet"/>
      <w:lvlText w:val="•"/>
      <w:lvlJc w:val="left"/>
      <w:pPr>
        <w:ind w:left="2217" w:hanging="360"/>
      </w:pPr>
      <w:rPr>
        <w:rFonts w:hint="default"/>
        <w:lang w:val="en-US" w:eastAsia="en-US" w:bidi="ar-SA"/>
      </w:rPr>
    </w:lvl>
    <w:lvl w:ilvl="4">
      <w:start w:val="0"/>
      <w:numFmt w:val="bullet"/>
      <w:lvlText w:val="•"/>
      <w:lvlJc w:val="left"/>
      <w:pPr>
        <w:ind w:left="2683" w:hanging="360"/>
      </w:pPr>
      <w:rPr>
        <w:rFonts w:hint="default"/>
        <w:lang w:val="en-US" w:eastAsia="en-US" w:bidi="ar-SA"/>
      </w:rPr>
    </w:lvl>
    <w:lvl w:ilvl="5">
      <w:start w:val="0"/>
      <w:numFmt w:val="bullet"/>
      <w:lvlText w:val="•"/>
      <w:lvlJc w:val="left"/>
      <w:pPr>
        <w:ind w:left="3149" w:hanging="360"/>
      </w:pPr>
      <w:rPr>
        <w:rFonts w:hint="default"/>
        <w:lang w:val="en-US" w:eastAsia="en-US" w:bidi="ar-SA"/>
      </w:rPr>
    </w:lvl>
    <w:lvl w:ilvl="6">
      <w:start w:val="0"/>
      <w:numFmt w:val="bullet"/>
      <w:lvlText w:val="•"/>
      <w:lvlJc w:val="left"/>
      <w:pPr>
        <w:ind w:left="3614" w:hanging="360"/>
      </w:pPr>
      <w:rPr>
        <w:rFonts w:hint="default"/>
        <w:lang w:val="en-US" w:eastAsia="en-US" w:bidi="ar-SA"/>
      </w:rPr>
    </w:lvl>
    <w:lvl w:ilvl="7">
      <w:start w:val="0"/>
      <w:numFmt w:val="bullet"/>
      <w:lvlText w:val="•"/>
      <w:lvlJc w:val="left"/>
      <w:pPr>
        <w:ind w:left="4080" w:hanging="360"/>
      </w:pPr>
      <w:rPr>
        <w:rFonts w:hint="default"/>
        <w:lang w:val="en-US" w:eastAsia="en-US" w:bidi="ar-SA"/>
      </w:rPr>
    </w:lvl>
    <w:lvl w:ilvl="8">
      <w:start w:val="0"/>
      <w:numFmt w:val="bullet"/>
      <w:lvlText w:val="•"/>
      <w:lvlJc w:val="left"/>
      <w:pPr>
        <w:ind w:left="4546" w:hanging="360"/>
      </w:pPr>
      <w:rPr>
        <w:rFonts w:hint="default"/>
        <w:lang w:val="en-US" w:eastAsia="en-US" w:bidi="ar-SA"/>
      </w:rPr>
    </w:lvl>
  </w:abstractNum>
  <w:abstractNum w:abstractNumId="11">
    <w:multiLevelType w:val="hybridMultilevel"/>
    <w:lvl w:ilvl="0">
      <w:start w:val="0"/>
      <w:numFmt w:val="bullet"/>
      <w:lvlText w:val=""/>
      <w:lvlJc w:val="left"/>
      <w:pPr>
        <w:ind w:left="480" w:hanging="360"/>
      </w:pPr>
      <w:rPr>
        <w:rFonts w:hint="default" w:ascii="Symbol" w:hAnsi="Symbol" w:eastAsia="Symbol" w:cs="Symbol"/>
        <w:spacing w:val="0"/>
        <w:w w:val="100"/>
        <w:lang w:val="en-US" w:eastAsia="en-US" w:bidi="ar-SA"/>
      </w:rPr>
    </w:lvl>
    <w:lvl w:ilvl="1">
      <w:start w:val="0"/>
      <w:numFmt w:val="bullet"/>
      <w:lvlText w:val="•"/>
      <w:lvlJc w:val="left"/>
      <w:pPr>
        <w:ind w:left="1406" w:hanging="360"/>
      </w:pPr>
      <w:rPr>
        <w:rFonts w:hint="default"/>
        <w:lang w:val="en-US" w:eastAsia="en-US" w:bidi="ar-SA"/>
      </w:rPr>
    </w:lvl>
    <w:lvl w:ilvl="2">
      <w:start w:val="0"/>
      <w:numFmt w:val="bullet"/>
      <w:lvlText w:val="•"/>
      <w:lvlJc w:val="left"/>
      <w:pPr>
        <w:ind w:left="2332" w:hanging="360"/>
      </w:pPr>
      <w:rPr>
        <w:rFonts w:hint="default"/>
        <w:lang w:val="en-US" w:eastAsia="en-US" w:bidi="ar-SA"/>
      </w:rPr>
    </w:lvl>
    <w:lvl w:ilvl="3">
      <w:start w:val="0"/>
      <w:numFmt w:val="bullet"/>
      <w:lvlText w:val="•"/>
      <w:lvlJc w:val="left"/>
      <w:pPr>
        <w:ind w:left="3258" w:hanging="360"/>
      </w:pPr>
      <w:rPr>
        <w:rFonts w:hint="default"/>
        <w:lang w:val="en-US" w:eastAsia="en-US" w:bidi="ar-SA"/>
      </w:rPr>
    </w:lvl>
    <w:lvl w:ilvl="4">
      <w:start w:val="0"/>
      <w:numFmt w:val="bullet"/>
      <w:lvlText w:val="•"/>
      <w:lvlJc w:val="left"/>
      <w:pPr>
        <w:ind w:left="4184" w:hanging="360"/>
      </w:pPr>
      <w:rPr>
        <w:rFonts w:hint="default"/>
        <w:lang w:val="en-US" w:eastAsia="en-US" w:bidi="ar-SA"/>
      </w:rPr>
    </w:lvl>
    <w:lvl w:ilvl="5">
      <w:start w:val="0"/>
      <w:numFmt w:val="bullet"/>
      <w:lvlText w:val="•"/>
      <w:lvlJc w:val="left"/>
      <w:pPr>
        <w:ind w:left="5110" w:hanging="360"/>
      </w:pPr>
      <w:rPr>
        <w:rFonts w:hint="default"/>
        <w:lang w:val="en-US" w:eastAsia="en-US" w:bidi="ar-SA"/>
      </w:rPr>
    </w:lvl>
    <w:lvl w:ilvl="6">
      <w:start w:val="0"/>
      <w:numFmt w:val="bullet"/>
      <w:lvlText w:val="•"/>
      <w:lvlJc w:val="left"/>
      <w:pPr>
        <w:ind w:left="6036"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10">
    <w:multiLevelType w:val="hybridMultilevel"/>
    <w:lvl w:ilvl="0">
      <w:start w:val="0"/>
      <w:numFmt w:val="bullet"/>
      <w:lvlText w:val=""/>
      <w:lvlJc w:val="left"/>
      <w:pPr>
        <w:ind w:left="931" w:hanging="452"/>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20" w:hanging="452"/>
      </w:pPr>
      <w:rPr>
        <w:rFonts w:hint="default"/>
        <w:lang w:val="en-US" w:eastAsia="en-US" w:bidi="ar-SA"/>
      </w:rPr>
    </w:lvl>
    <w:lvl w:ilvl="2">
      <w:start w:val="0"/>
      <w:numFmt w:val="bullet"/>
      <w:lvlText w:val="•"/>
      <w:lvlJc w:val="left"/>
      <w:pPr>
        <w:ind w:left="2700" w:hanging="452"/>
      </w:pPr>
      <w:rPr>
        <w:rFonts w:hint="default"/>
        <w:lang w:val="en-US" w:eastAsia="en-US" w:bidi="ar-SA"/>
      </w:rPr>
    </w:lvl>
    <w:lvl w:ilvl="3">
      <w:start w:val="0"/>
      <w:numFmt w:val="bullet"/>
      <w:lvlText w:val="•"/>
      <w:lvlJc w:val="left"/>
      <w:pPr>
        <w:ind w:left="3580" w:hanging="452"/>
      </w:pPr>
      <w:rPr>
        <w:rFonts w:hint="default"/>
        <w:lang w:val="en-US" w:eastAsia="en-US" w:bidi="ar-SA"/>
      </w:rPr>
    </w:lvl>
    <w:lvl w:ilvl="4">
      <w:start w:val="0"/>
      <w:numFmt w:val="bullet"/>
      <w:lvlText w:val="•"/>
      <w:lvlJc w:val="left"/>
      <w:pPr>
        <w:ind w:left="4460" w:hanging="452"/>
      </w:pPr>
      <w:rPr>
        <w:rFonts w:hint="default"/>
        <w:lang w:val="en-US" w:eastAsia="en-US" w:bidi="ar-SA"/>
      </w:rPr>
    </w:lvl>
    <w:lvl w:ilvl="5">
      <w:start w:val="0"/>
      <w:numFmt w:val="bullet"/>
      <w:lvlText w:val="•"/>
      <w:lvlJc w:val="left"/>
      <w:pPr>
        <w:ind w:left="5340" w:hanging="452"/>
      </w:pPr>
      <w:rPr>
        <w:rFonts w:hint="default"/>
        <w:lang w:val="en-US" w:eastAsia="en-US" w:bidi="ar-SA"/>
      </w:rPr>
    </w:lvl>
    <w:lvl w:ilvl="6">
      <w:start w:val="0"/>
      <w:numFmt w:val="bullet"/>
      <w:lvlText w:val="•"/>
      <w:lvlJc w:val="left"/>
      <w:pPr>
        <w:ind w:left="6220" w:hanging="452"/>
      </w:pPr>
      <w:rPr>
        <w:rFonts w:hint="default"/>
        <w:lang w:val="en-US" w:eastAsia="en-US" w:bidi="ar-SA"/>
      </w:rPr>
    </w:lvl>
    <w:lvl w:ilvl="7">
      <w:start w:val="0"/>
      <w:numFmt w:val="bullet"/>
      <w:lvlText w:val="•"/>
      <w:lvlJc w:val="left"/>
      <w:pPr>
        <w:ind w:left="7100" w:hanging="452"/>
      </w:pPr>
      <w:rPr>
        <w:rFonts w:hint="default"/>
        <w:lang w:val="en-US" w:eastAsia="en-US" w:bidi="ar-SA"/>
      </w:rPr>
    </w:lvl>
    <w:lvl w:ilvl="8">
      <w:start w:val="0"/>
      <w:numFmt w:val="bullet"/>
      <w:lvlText w:val="•"/>
      <w:lvlJc w:val="left"/>
      <w:pPr>
        <w:ind w:left="7980" w:hanging="452"/>
      </w:pPr>
      <w:rPr>
        <w:rFonts w:hint="default"/>
        <w:lang w:val="en-US" w:eastAsia="en-US" w:bidi="ar-SA"/>
      </w:rPr>
    </w:lvl>
  </w:abstractNum>
  <w:abstractNum w:abstractNumId="9">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30" w:hanging="360"/>
      </w:pPr>
      <w:rPr>
        <w:rFonts w:hint="default"/>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1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80" w:hanging="360"/>
      </w:pPr>
      <w:rPr>
        <w:rFonts w:hint="default"/>
        <w:lang w:val="en-US" w:eastAsia="en-US" w:bidi="ar-SA"/>
      </w:rPr>
    </w:lvl>
    <w:lvl w:ilvl="7">
      <w:start w:val="0"/>
      <w:numFmt w:val="bullet"/>
      <w:lvlText w:val="•"/>
      <w:lvlJc w:val="left"/>
      <w:pPr>
        <w:ind w:left="7070" w:hanging="360"/>
      </w:pPr>
      <w:rPr>
        <w:rFonts w:hint="default"/>
        <w:lang w:val="en-US" w:eastAsia="en-US" w:bidi="ar-SA"/>
      </w:rPr>
    </w:lvl>
    <w:lvl w:ilvl="8">
      <w:start w:val="0"/>
      <w:numFmt w:val="bullet"/>
      <w:lvlText w:val="•"/>
      <w:lvlJc w:val="left"/>
      <w:pPr>
        <w:ind w:left="7960" w:hanging="360"/>
      </w:pPr>
      <w:rPr>
        <w:rFonts w:hint="default"/>
        <w:lang w:val="en-US" w:eastAsia="en-US" w:bidi="ar-SA"/>
      </w:rPr>
    </w:lvl>
  </w:abstractNum>
  <w:abstractNum w:abstractNumId="8">
    <w:multiLevelType w:val="hybridMultilevel"/>
    <w:lvl w:ilvl="0">
      <w:start w:val="0"/>
      <w:numFmt w:val="bullet"/>
      <w:lvlText w:val=""/>
      <w:lvlJc w:val="left"/>
      <w:pPr>
        <w:ind w:left="840" w:hanging="360"/>
      </w:pPr>
      <w:rPr>
        <w:rFonts w:hint="default" w:ascii="Symbol" w:hAnsi="Symbol" w:eastAsia="Symbol" w:cs="Symbol"/>
        <w:spacing w:val="0"/>
        <w:w w:val="100"/>
        <w:lang w:val="en-US" w:eastAsia="en-US" w:bidi="ar-SA"/>
      </w:rPr>
    </w:lvl>
    <w:lvl w:ilvl="1">
      <w:start w:val="0"/>
      <w:numFmt w:val="bullet"/>
      <w:lvlText w:val="•"/>
      <w:lvlJc w:val="left"/>
      <w:pPr>
        <w:ind w:left="1730" w:hanging="360"/>
      </w:pPr>
      <w:rPr>
        <w:rFonts w:hint="default"/>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1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80" w:hanging="360"/>
      </w:pPr>
      <w:rPr>
        <w:rFonts w:hint="default"/>
        <w:lang w:val="en-US" w:eastAsia="en-US" w:bidi="ar-SA"/>
      </w:rPr>
    </w:lvl>
    <w:lvl w:ilvl="7">
      <w:start w:val="0"/>
      <w:numFmt w:val="bullet"/>
      <w:lvlText w:val="•"/>
      <w:lvlJc w:val="left"/>
      <w:pPr>
        <w:ind w:left="7070" w:hanging="360"/>
      </w:pPr>
      <w:rPr>
        <w:rFonts w:hint="default"/>
        <w:lang w:val="en-US" w:eastAsia="en-US" w:bidi="ar-SA"/>
      </w:rPr>
    </w:lvl>
    <w:lvl w:ilvl="8">
      <w:start w:val="0"/>
      <w:numFmt w:val="bullet"/>
      <w:lvlText w:val="•"/>
      <w:lvlJc w:val="left"/>
      <w:pPr>
        <w:ind w:left="7960" w:hanging="360"/>
      </w:pPr>
      <w:rPr>
        <w:rFonts w:hint="default"/>
        <w:lang w:val="en-US" w:eastAsia="en-US" w:bidi="ar-SA"/>
      </w:rPr>
    </w:lvl>
  </w:abstractNum>
  <w:abstractNum w:abstractNumId="7">
    <w:multiLevelType w:val="hybridMultilevel"/>
    <w:lvl w:ilvl="0">
      <w:start w:val="1"/>
      <w:numFmt w:val="lowerLetter"/>
      <w:lvlText w:val="%1)"/>
      <w:lvlJc w:val="left"/>
      <w:pPr>
        <w:ind w:left="84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730" w:hanging="360"/>
      </w:pPr>
      <w:rPr>
        <w:rFonts w:hint="default"/>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1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80" w:hanging="360"/>
      </w:pPr>
      <w:rPr>
        <w:rFonts w:hint="default"/>
        <w:lang w:val="en-US" w:eastAsia="en-US" w:bidi="ar-SA"/>
      </w:rPr>
    </w:lvl>
    <w:lvl w:ilvl="7">
      <w:start w:val="0"/>
      <w:numFmt w:val="bullet"/>
      <w:lvlText w:val="•"/>
      <w:lvlJc w:val="left"/>
      <w:pPr>
        <w:ind w:left="7070" w:hanging="360"/>
      </w:pPr>
      <w:rPr>
        <w:rFonts w:hint="default"/>
        <w:lang w:val="en-US" w:eastAsia="en-US" w:bidi="ar-SA"/>
      </w:rPr>
    </w:lvl>
    <w:lvl w:ilvl="8">
      <w:start w:val="0"/>
      <w:numFmt w:val="bullet"/>
      <w:lvlText w:val="•"/>
      <w:lvlJc w:val="left"/>
      <w:pPr>
        <w:ind w:left="7960" w:hanging="360"/>
      </w:pPr>
      <w:rPr>
        <w:rFonts w:hint="default"/>
        <w:lang w:val="en-US" w:eastAsia="en-US" w:bidi="ar-SA"/>
      </w:rPr>
    </w:lvl>
  </w:abstractNum>
  <w:abstractNum w:abstractNumId="6">
    <w:multiLevelType w:val="hybridMultilevel"/>
    <w:lvl w:ilvl="0">
      <w:start w:val="1"/>
      <w:numFmt w:val="lowerLetter"/>
      <w:lvlText w:val="(%1)"/>
      <w:lvlJc w:val="left"/>
      <w:pPr>
        <w:ind w:left="1200" w:hanging="360"/>
        <w:jc w:val="left"/>
      </w:pPr>
      <w:rPr>
        <w:rFonts w:hint="default" w:ascii="Calibri" w:hAnsi="Calibri" w:eastAsia="Calibri" w:cs="Calibri"/>
        <w:b w:val="0"/>
        <w:bCs w:val="0"/>
        <w:i w:val="0"/>
        <w:iCs w:val="0"/>
        <w:spacing w:val="-1"/>
        <w:w w:val="100"/>
        <w:sz w:val="24"/>
        <w:szCs w:val="24"/>
        <w:lang w:val="en-US" w:eastAsia="en-US" w:bidi="ar-SA"/>
      </w:rPr>
    </w:lvl>
    <w:lvl w:ilvl="1">
      <w:start w:val="1"/>
      <w:numFmt w:val="decimal"/>
      <w:lvlText w:val="%2."/>
      <w:lvlJc w:val="left"/>
      <w:pPr>
        <w:ind w:left="1920" w:hanging="360"/>
        <w:jc w:val="left"/>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788" w:hanging="360"/>
      </w:pPr>
      <w:rPr>
        <w:rFonts w:hint="default"/>
        <w:lang w:val="en-US" w:eastAsia="en-US" w:bidi="ar-SA"/>
      </w:rPr>
    </w:lvl>
    <w:lvl w:ilvl="3">
      <w:start w:val="0"/>
      <w:numFmt w:val="bullet"/>
      <w:lvlText w:val="•"/>
      <w:lvlJc w:val="left"/>
      <w:pPr>
        <w:ind w:left="3657" w:hanging="360"/>
      </w:pPr>
      <w:rPr>
        <w:rFonts w:hint="default"/>
        <w:lang w:val="en-US" w:eastAsia="en-US" w:bidi="ar-SA"/>
      </w:rPr>
    </w:lvl>
    <w:lvl w:ilvl="4">
      <w:start w:val="0"/>
      <w:numFmt w:val="bullet"/>
      <w:lvlText w:val="•"/>
      <w:lvlJc w:val="left"/>
      <w:pPr>
        <w:ind w:left="4526" w:hanging="360"/>
      </w:pPr>
      <w:rPr>
        <w:rFonts w:hint="default"/>
        <w:lang w:val="en-US" w:eastAsia="en-US" w:bidi="ar-SA"/>
      </w:rPr>
    </w:lvl>
    <w:lvl w:ilvl="5">
      <w:start w:val="0"/>
      <w:numFmt w:val="bullet"/>
      <w:lvlText w:val="•"/>
      <w:lvlJc w:val="left"/>
      <w:pPr>
        <w:ind w:left="5395"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133" w:hanging="360"/>
      </w:pPr>
      <w:rPr>
        <w:rFonts w:hint="default"/>
        <w:lang w:val="en-US" w:eastAsia="en-US" w:bidi="ar-SA"/>
      </w:rPr>
    </w:lvl>
    <w:lvl w:ilvl="8">
      <w:start w:val="0"/>
      <w:numFmt w:val="bullet"/>
      <w:lvlText w:val="•"/>
      <w:lvlJc w:val="left"/>
      <w:pPr>
        <w:ind w:left="8002" w:hanging="360"/>
      </w:pPr>
      <w:rPr>
        <w:rFonts w:hint="default"/>
        <w:lang w:val="en-US" w:eastAsia="en-US" w:bidi="ar-SA"/>
      </w:rPr>
    </w:lvl>
  </w:abstractNum>
  <w:abstractNum w:abstractNumId="5">
    <w:multiLevelType w:val="hybridMultilevel"/>
    <w:lvl w:ilvl="0">
      <w:start w:val="1"/>
      <w:numFmt w:val="decimal"/>
      <w:lvlText w:val="%1."/>
      <w:lvlJc w:val="left"/>
      <w:pPr>
        <w:ind w:left="120" w:hanging="298"/>
        <w:jc w:val="left"/>
      </w:pPr>
      <w:rPr>
        <w:rFonts w:hint="default"/>
        <w:spacing w:val="0"/>
        <w:w w:val="100"/>
        <w:lang w:val="en-US" w:eastAsia="en-US" w:bidi="ar-SA"/>
      </w:rPr>
    </w:lvl>
    <w:lvl w:ilvl="1">
      <w:start w:val="0"/>
      <w:numFmt w:val="bullet"/>
      <w:lvlText w:val=""/>
      <w:lvlJc w:val="left"/>
      <w:pPr>
        <w:ind w:left="1200" w:hanging="360"/>
      </w:pPr>
      <w:rPr>
        <w:rFonts w:hint="default" w:ascii="Symbol" w:hAnsi="Symbol" w:eastAsia="Symbol" w:cs="Symbol"/>
        <w:spacing w:val="0"/>
        <w:w w:val="100"/>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3097" w:hanging="360"/>
      </w:pPr>
      <w:rPr>
        <w:rFonts w:hint="default"/>
        <w:lang w:val="en-US" w:eastAsia="en-US" w:bidi="ar-SA"/>
      </w:rPr>
    </w:lvl>
    <w:lvl w:ilvl="4">
      <w:start w:val="0"/>
      <w:numFmt w:val="bullet"/>
      <w:lvlText w:val="•"/>
      <w:lvlJc w:val="left"/>
      <w:pPr>
        <w:ind w:left="4046" w:hanging="360"/>
      </w:pPr>
      <w:rPr>
        <w:rFonts w:hint="default"/>
        <w:lang w:val="en-US" w:eastAsia="en-US" w:bidi="ar-SA"/>
      </w:rPr>
    </w:lvl>
    <w:lvl w:ilvl="5">
      <w:start w:val="0"/>
      <w:numFmt w:val="bullet"/>
      <w:lvlText w:val="•"/>
      <w:lvlJc w:val="left"/>
      <w:pPr>
        <w:ind w:left="4995"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893" w:hanging="360"/>
      </w:pPr>
      <w:rPr>
        <w:rFonts w:hint="default"/>
        <w:lang w:val="en-US" w:eastAsia="en-US" w:bidi="ar-SA"/>
      </w:rPr>
    </w:lvl>
    <w:lvl w:ilvl="8">
      <w:start w:val="0"/>
      <w:numFmt w:val="bullet"/>
      <w:lvlText w:val="•"/>
      <w:lvlJc w:val="left"/>
      <w:pPr>
        <w:ind w:left="7842" w:hanging="360"/>
      </w:pPr>
      <w:rPr>
        <w:rFonts w:hint="default"/>
        <w:lang w:val="en-US" w:eastAsia="en-US" w:bidi="ar-SA"/>
      </w:rPr>
    </w:lvl>
  </w:abstractNum>
  <w:abstractNum w:abstractNumId="4">
    <w:multiLevelType w:val="hybridMultilevel"/>
    <w:lvl w:ilvl="0">
      <w:start w:val="1"/>
      <w:numFmt w:val="lowerLetter"/>
      <w:lvlText w:val="(%1)"/>
      <w:lvlJc w:val="left"/>
      <w:pPr>
        <w:ind w:left="1200" w:hanging="360"/>
        <w:jc w:val="left"/>
      </w:pPr>
      <w:rPr>
        <w:rFonts w:hint="default" w:ascii="Calibri" w:hAnsi="Calibri" w:eastAsia="Calibri" w:cs="Calibri"/>
        <w:b w:val="0"/>
        <w:bCs w:val="0"/>
        <w:i w:val="0"/>
        <w:iCs w:val="0"/>
        <w:spacing w:val="-1"/>
        <w:w w:val="100"/>
        <w:sz w:val="24"/>
        <w:szCs w:val="24"/>
        <w:lang w:val="en-US" w:eastAsia="en-US" w:bidi="ar-SA"/>
      </w:rPr>
    </w:lvl>
    <w:lvl w:ilvl="1">
      <w:start w:val="1"/>
      <w:numFmt w:val="decimal"/>
      <w:lvlText w:val="%2."/>
      <w:lvlJc w:val="left"/>
      <w:pPr>
        <w:ind w:left="1920" w:hanging="360"/>
        <w:jc w:val="left"/>
      </w:pPr>
      <w:rPr>
        <w:rFonts w:hint="default"/>
        <w:spacing w:val="0"/>
        <w:w w:val="100"/>
        <w:lang w:val="en-US" w:eastAsia="en-US" w:bidi="ar-SA"/>
      </w:rPr>
    </w:lvl>
    <w:lvl w:ilvl="2">
      <w:start w:val="0"/>
      <w:numFmt w:val="bullet"/>
      <w:lvlText w:val="•"/>
      <w:lvlJc w:val="left"/>
      <w:pPr>
        <w:ind w:left="2788" w:hanging="360"/>
      </w:pPr>
      <w:rPr>
        <w:rFonts w:hint="default"/>
        <w:lang w:val="en-US" w:eastAsia="en-US" w:bidi="ar-SA"/>
      </w:rPr>
    </w:lvl>
    <w:lvl w:ilvl="3">
      <w:start w:val="0"/>
      <w:numFmt w:val="bullet"/>
      <w:lvlText w:val="•"/>
      <w:lvlJc w:val="left"/>
      <w:pPr>
        <w:ind w:left="3657" w:hanging="360"/>
      </w:pPr>
      <w:rPr>
        <w:rFonts w:hint="default"/>
        <w:lang w:val="en-US" w:eastAsia="en-US" w:bidi="ar-SA"/>
      </w:rPr>
    </w:lvl>
    <w:lvl w:ilvl="4">
      <w:start w:val="0"/>
      <w:numFmt w:val="bullet"/>
      <w:lvlText w:val="•"/>
      <w:lvlJc w:val="left"/>
      <w:pPr>
        <w:ind w:left="4526" w:hanging="360"/>
      </w:pPr>
      <w:rPr>
        <w:rFonts w:hint="default"/>
        <w:lang w:val="en-US" w:eastAsia="en-US" w:bidi="ar-SA"/>
      </w:rPr>
    </w:lvl>
    <w:lvl w:ilvl="5">
      <w:start w:val="0"/>
      <w:numFmt w:val="bullet"/>
      <w:lvlText w:val="•"/>
      <w:lvlJc w:val="left"/>
      <w:pPr>
        <w:ind w:left="5395"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133" w:hanging="360"/>
      </w:pPr>
      <w:rPr>
        <w:rFonts w:hint="default"/>
        <w:lang w:val="en-US" w:eastAsia="en-US" w:bidi="ar-SA"/>
      </w:rPr>
    </w:lvl>
    <w:lvl w:ilvl="8">
      <w:start w:val="0"/>
      <w:numFmt w:val="bullet"/>
      <w:lvlText w:val="•"/>
      <w:lvlJc w:val="left"/>
      <w:pPr>
        <w:ind w:left="8002" w:hanging="360"/>
      </w:pPr>
      <w:rPr>
        <w:rFonts w:hint="default"/>
        <w:lang w:val="en-US" w:eastAsia="en-US" w:bidi="ar-SA"/>
      </w:rPr>
    </w:lvl>
  </w:abstractNum>
  <w:abstractNum w:abstractNumId="3">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30" w:hanging="360"/>
      </w:pPr>
      <w:rPr>
        <w:rFonts w:hint="default"/>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1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80" w:hanging="360"/>
      </w:pPr>
      <w:rPr>
        <w:rFonts w:hint="default"/>
        <w:lang w:val="en-US" w:eastAsia="en-US" w:bidi="ar-SA"/>
      </w:rPr>
    </w:lvl>
    <w:lvl w:ilvl="7">
      <w:start w:val="0"/>
      <w:numFmt w:val="bullet"/>
      <w:lvlText w:val="•"/>
      <w:lvlJc w:val="left"/>
      <w:pPr>
        <w:ind w:left="7070" w:hanging="360"/>
      </w:pPr>
      <w:rPr>
        <w:rFonts w:hint="default"/>
        <w:lang w:val="en-US" w:eastAsia="en-US" w:bidi="ar-SA"/>
      </w:rPr>
    </w:lvl>
    <w:lvl w:ilvl="8">
      <w:start w:val="0"/>
      <w:numFmt w:val="bullet"/>
      <w:lvlText w:val="•"/>
      <w:lvlJc w:val="left"/>
      <w:pPr>
        <w:ind w:left="7960" w:hanging="360"/>
      </w:pPr>
      <w:rPr>
        <w:rFonts w:hint="default"/>
        <w:lang w:val="en-US" w:eastAsia="en-US" w:bidi="ar-SA"/>
      </w:rPr>
    </w:lvl>
  </w:abstractNum>
  <w:abstractNum w:abstractNumId="2">
    <w:multiLevelType w:val="hybridMultilevel"/>
    <w:lvl w:ilvl="0">
      <w:start w:val="1"/>
      <w:numFmt w:val="decimal"/>
      <w:lvlText w:val="%1."/>
      <w:lvlJc w:val="left"/>
      <w:pPr>
        <w:ind w:left="120" w:hanging="296"/>
        <w:jc w:val="right"/>
      </w:pPr>
      <w:rPr>
        <w:rFonts w:hint="default" w:ascii="Calibri" w:hAnsi="Calibri" w:eastAsia="Calibri" w:cs="Calibri"/>
        <w:b/>
        <w:bCs/>
        <w:i/>
        <w:iCs/>
        <w:spacing w:val="0"/>
        <w:w w:val="100"/>
        <w:sz w:val="24"/>
        <w:szCs w:val="24"/>
        <w:lang w:val="en-US" w:eastAsia="en-US" w:bidi="ar-SA"/>
      </w:rPr>
    </w:lvl>
    <w:lvl w:ilvl="1">
      <w:start w:val="0"/>
      <w:numFmt w:val="bullet"/>
      <w:lvlText w:val=""/>
      <w:lvlJc w:val="left"/>
      <w:pPr>
        <w:ind w:left="1200" w:hanging="360"/>
      </w:pPr>
      <w:rPr>
        <w:rFonts w:hint="default" w:ascii="Symbol" w:hAnsi="Symbol" w:eastAsia="Symbol" w:cs="Symbol"/>
        <w:spacing w:val="0"/>
        <w:w w:val="100"/>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3097" w:hanging="360"/>
      </w:pPr>
      <w:rPr>
        <w:rFonts w:hint="default"/>
        <w:lang w:val="en-US" w:eastAsia="en-US" w:bidi="ar-SA"/>
      </w:rPr>
    </w:lvl>
    <w:lvl w:ilvl="4">
      <w:start w:val="0"/>
      <w:numFmt w:val="bullet"/>
      <w:lvlText w:val="•"/>
      <w:lvlJc w:val="left"/>
      <w:pPr>
        <w:ind w:left="4046" w:hanging="360"/>
      </w:pPr>
      <w:rPr>
        <w:rFonts w:hint="default"/>
        <w:lang w:val="en-US" w:eastAsia="en-US" w:bidi="ar-SA"/>
      </w:rPr>
    </w:lvl>
    <w:lvl w:ilvl="5">
      <w:start w:val="0"/>
      <w:numFmt w:val="bullet"/>
      <w:lvlText w:val="•"/>
      <w:lvlJc w:val="left"/>
      <w:pPr>
        <w:ind w:left="4995" w:hanging="360"/>
      </w:pPr>
      <w:rPr>
        <w:rFonts w:hint="default"/>
        <w:lang w:val="en-US" w:eastAsia="en-US" w:bidi="ar-SA"/>
      </w:rPr>
    </w:lvl>
    <w:lvl w:ilvl="6">
      <w:start w:val="0"/>
      <w:numFmt w:val="bullet"/>
      <w:lvlText w:val="•"/>
      <w:lvlJc w:val="left"/>
      <w:pPr>
        <w:ind w:left="5944" w:hanging="360"/>
      </w:pPr>
      <w:rPr>
        <w:rFonts w:hint="default"/>
        <w:lang w:val="en-US" w:eastAsia="en-US" w:bidi="ar-SA"/>
      </w:rPr>
    </w:lvl>
    <w:lvl w:ilvl="7">
      <w:start w:val="0"/>
      <w:numFmt w:val="bullet"/>
      <w:lvlText w:val="•"/>
      <w:lvlJc w:val="left"/>
      <w:pPr>
        <w:ind w:left="6893" w:hanging="360"/>
      </w:pPr>
      <w:rPr>
        <w:rFonts w:hint="default"/>
        <w:lang w:val="en-US" w:eastAsia="en-US" w:bidi="ar-SA"/>
      </w:rPr>
    </w:lvl>
    <w:lvl w:ilvl="8">
      <w:start w:val="0"/>
      <w:numFmt w:val="bullet"/>
      <w:lvlText w:val="•"/>
      <w:lvlJc w:val="left"/>
      <w:pPr>
        <w:ind w:left="7842"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560"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2468" w:hanging="360"/>
      </w:pPr>
      <w:rPr>
        <w:rFonts w:hint="default"/>
        <w:lang w:val="en-US" w:eastAsia="en-US" w:bidi="ar-SA"/>
      </w:rPr>
    </w:lvl>
    <w:lvl w:ilvl="3">
      <w:start w:val="0"/>
      <w:numFmt w:val="bullet"/>
      <w:lvlText w:val="•"/>
      <w:lvlJc w:val="left"/>
      <w:pPr>
        <w:ind w:left="3377" w:hanging="360"/>
      </w:pPr>
      <w:rPr>
        <w:rFonts w:hint="default"/>
        <w:lang w:val="en-US" w:eastAsia="en-US" w:bidi="ar-SA"/>
      </w:rPr>
    </w:lvl>
    <w:lvl w:ilvl="4">
      <w:start w:val="0"/>
      <w:numFmt w:val="bullet"/>
      <w:lvlText w:val="•"/>
      <w:lvlJc w:val="left"/>
      <w:pPr>
        <w:ind w:left="4286" w:hanging="360"/>
      </w:pPr>
      <w:rPr>
        <w:rFonts w:hint="default"/>
        <w:lang w:val="en-US" w:eastAsia="en-US" w:bidi="ar-SA"/>
      </w:rPr>
    </w:lvl>
    <w:lvl w:ilvl="5">
      <w:start w:val="0"/>
      <w:numFmt w:val="bullet"/>
      <w:lvlText w:val="•"/>
      <w:lvlJc w:val="left"/>
      <w:pPr>
        <w:ind w:left="5195" w:hanging="360"/>
      </w:pPr>
      <w:rPr>
        <w:rFonts w:hint="default"/>
        <w:lang w:val="en-US" w:eastAsia="en-US" w:bidi="ar-SA"/>
      </w:rPr>
    </w:lvl>
    <w:lvl w:ilvl="6">
      <w:start w:val="0"/>
      <w:numFmt w:val="bullet"/>
      <w:lvlText w:val="•"/>
      <w:lvlJc w:val="left"/>
      <w:pPr>
        <w:ind w:left="6104" w:hanging="360"/>
      </w:pPr>
      <w:rPr>
        <w:rFonts w:hint="default"/>
        <w:lang w:val="en-US" w:eastAsia="en-US" w:bidi="ar-SA"/>
      </w:rPr>
    </w:lvl>
    <w:lvl w:ilvl="7">
      <w:start w:val="0"/>
      <w:numFmt w:val="bullet"/>
      <w:lvlText w:val="•"/>
      <w:lvlJc w:val="left"/>
      <w:pPr>
        <w:ind w:left="7013" w:hanging="360"/>
      </w:pPr>
      <w:rPr>
        <w:rFonts w:hint="default"/>
        <w:lang w:val="en-US" w:eastAsia="en-US" w:bidi="ar-SA"/>
      </w:rPr>
    </w:lvl>
    <w:lvl w:ilvl="8">
      <w:start w:val="0"/>
      <w:numFmt w:val="bullet"/>
      <w:lvlText w:val="•"/>
      <w:lvlJc w:val="left"/>
      <w:pPr>
        <w:ind w:left="7922" w:hanging="360"/>
      </w:pPr>
      <w:rPr>
        <w:rFonts w:hint="default"/>
        <w:lang w:val="en-US" w:eastAsia="en-US" w:bidi="ar-SA"/>
      </w:rPr>
    </w:lvl>
  </w:abstractNum>
  <w:abstractNum w:abstractNumId="0">
    <w:multiLevelType w:val="hybridMultilevel"/>
    <w:lvl w:ilvl="0">
      <w:start w:val="1"/>
      <w:numFmt w:val="upperRoman"/>
      <w:lvlText w:val="%1."/>
      <w:lvlJc w:val="left"/>
      <w:pPr>
        <w:ind w:left="360" w:hanging="240"/>
        <w:jc w:val="left"/>
      </w:pPr>
      <w:rPr>
        <w:rFonts w:hint="default" w:ascii="Calibri" w:hAnsi="Calibri" w:eastAsia="Calibri" w:cs="Calibri"/>
        <w:b/>
        <w:bCs/>
        <w:i w:val="0"/>
        <w:iCs w:val="0"/>
        <w:spacing w:val="0"/>
        <w:w w:val="100"/>
        <w:sz w:val="24"/>
        <w:szCs w:val="24"/>
        <w:lang w:val="en-US" w:eastAsia="en-US" w:bidi="ar-SA"/>
      </w:rPr>
    </w:lvl>
    <w:lvl w:ilvl="1">
      <w:start w:val="1"/>
      <w:numFmt w:val="upperLetter"/>
      <w:lvlText w:val="%2."/>
      <w:lvlJc w:val="left"/>
      <w:pPr>
        <w:ind w:left="386" w:hanging="267"/>
        <w:jc w:val="left"/>
      </w:pPr>
      <w:rPr>
        <w:rFonts w:hint="default" w:ascii="Calibri" w:hAnsi="Calibri" w:eastAsia="Calibri" w:cs="Calibri"/>
        <w:b/>
        <w:bCs/>
        <w:i w:val="0"/>
        <w:iCs w:val="0"/>
        <w:spacing w:val="0"/>
        <w:w w:val="100"/>
        <w:sz w:val="24"/>
        <w:szCs w:val="24"/>
        <w:lang w:val="en-US" w:eastAsia="en-US" w:bidi="ar-SA"/>
      </w:rPr>
    </w:lvl>
    <w:lvl w:ilvl="2">
      <w:start w:val="0"/>
      <w:numFmt w:val="bullet"/>
      <w:lvlText w:val=""/>
      <w:lvlJc w:val="left"/>
      <w:pPr>
        <w:ind w:left="1560" w:hanging="360"/>
      </w:pPr>
      <w:rPr>
        <w:rFonts w:hint="default" w:ascii="Symbol" w:hAnsi="Symbol" w:eastAsia="Symbol" w:cs="Symbol"/>
        <w:spacing w:val="0"/>
        <w:w w:val="100"/>
        <w:lang w:val="en-US" w:eastAsia="en-US" w:bidi="ar-SA"/>
      </w:rPr>
    </w:lvl>
    <w:lvl w:ilvl="3">
      <w:start w:val="0"/>
      <w:numFmt w:val="bullet"/>
      <w:lvlText w:val="•"/>
      <w:lvlJc w:val="left"/>
      <w:pPr>
        <w:ind w:left="480" w:hanging="360"/>
      </w:pPr>
      <w:rPr>
        <w:rFonts w:hint="default"/>
        <w:lang w:val="en-US" w:eastAsia="en-US" w:bidi="ar-SA"/>
      </w:rPr>
    </w:lvl>
    <w:lvl w:ilvl="4">
      <w:start w:val="0"/>
      <w:numFmt w:val="bullet"/>
      <w:lvlText w:val="•"/>
      <w:lvlJc w:val="left"/>
      <w:pPr>
        <w:ind w:left="1560" w:hanging="360"/>
      </w:pPr>
      <w:rPr>
        <w:rFonts w:hint="default"/>
        <w:lang w:val="en-US" w:eastAsia="en-US" w:bidi="ar-SA"/>
      </w:rPr>
    </w:lvl>
    <w:lvl w:ilvl="5">
      <w:start w:val="0"/>
      <w:numFmt w:val="bullet"/>
      <w:lvlText w:val="•"/>
      <w:lvlJc w:val="left"/>
      <w:pPr>
        <w:ind w:left="2923" w:hanging="360"/>
      </w:pPr>
      <w:rPr>
        <w:rFonts w:hint="default"/>
        <w:lang w:val="en-US" w:eastAsia="en-US" w:bidi="ar-SA"/>
      </w:rPr>
    </w:lvl>
    <w:lvl w:ilvl="6">
      <w:start w:val="0"/>
      <w:numFmt w:val="bullet"/>
      <w:lvlText w:val="•"/>
      <w:lvlJc w:val="left"/>
      <w:pPr>
        <w:ind w:left="4286" w:hanging="360"/>
      </w:pPr>
      <w:rPr>
        <w:rFonts w:hint="default"/>
        <w:lang w:val="en-US" w:eastAsia="en-US" w:bidi="ar-SA"/>
      </w:rPr>
    </w:lvl>
    <w:lvl w:ilvl="7">
      <w:start w:val="0"/>
      <w:numFmt w:val="bullet"/>
      <w:lvlText w:val="•"/>
      <w:lvlJc w:val="left"/>
      <w:pPr>
        <w:ind w:left="5650" w:hanging="360"/>
      </w:pPr>
      <w:rPr>
        <w:rFonts w:hint="default"/>
        <w:lang w:val="en-US" w:eastAsia="en-US" w:bidi="ar-SA"/>
      </w:rPr>
    </w:lvl>
    <w:lvl w:ilvl="8">
      <w:start w:val="0"/>
      <w:numFmt w:val="bullet"/>
      <w:lvlText w:val="•"/>
      <w:lvlJc w:val="left"/>
      <w:pPr>
        <w:ind w:left="7013" w:hanging="360"/>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20"/>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19"/>
      <w:outlineLvl w:val="2"/>
    </w:pPr>
    <w:rPr>
      <w:rFonts w:ascii="Calibri" w:hAnsi="Calibri" w:eastAsia="Calibri" w:cs="Calibri"/>
      <w:b/>
      <w:bCs/>
      <w:i/>
      <w:iCs/>
      <w:sz w:val="24"/>
      <w:szCs w:val="24"/>
      <w:lang w:val="en-US" w:eastAsia="en-US" w:bidi="ar-SA"/>
    </w:rPr>
  </w:style>
  <w:style w:styleId="ListParagraph" w:type="paragraph">
    <w:name w:val="List Paragraph"/>
    <w:basedOn w:val="Normal"/>
    <w:uiPriority w:val="1"/>
    <w:qFormat/>
    <w:pPr>
      <w:ind w:left="155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policies.iu.edu/" TargetMode="External"/><Relationship Id="rId8" Type="http://schemas.openxmlformats.org/officeDocument/2006/relationships/hyperlink" Target="https://policies.iu.edu/categories/academic-faculty-students.html" TargetMode="External"/><Relationship Id="rId9" Type="http://schemas.openxmlformats.org/officeDocument/2006/relationships/hyperlink" Target="https://policies.iu.edu/policies/aca-12-general-provisions-academic-appointments/index.html" TargetMode="External"/><Relationship Id="rId10" Type="http://schemas.openxmlformats.org/officeDocument/2006/relationships/hyperlink" Target="http://policies.iu.edu/policies/categories/academic-faculty-students/academic-appointment-review/Classification-of-academic-appointments.shtml" TargetMode="External"/><Relationship Id="rId11" Type="http://schemas.openxmlformats.org/officeDocument/2006/relationships/hyperlink" Target="http://policies.iu.edu/policies/categories/academic-faculty-students/academic-appointment-review/Regulation-of-clinical-and-lecture-appointments.shtml" TargetMode="External"/><Relationship Id="rId12" Type="http://schemas.openxmlformats.org/officeDocument/2006/relationships/hyperlink" Target="https://policies.iu.edu/policies/aca-21-faculty-librarian-annual-reviews/index.html" TargetMode="External"/><Relationship Id="rId13" Type="http://schemas.openxmlformats.org/officeDocument/2006/relationships/hyperlink" Target="https://policies.iu.edu/policies/aca-22-reappointment-non-reappointment-probationary-period/index.html" TargetMode="External"/><Relationship Id="rId14" Type="http://schemas.openxmlformats.org/officeDocument/2006/relationships/hyperlink" Target="https://policies.iu.edu/policies/aca-25-annual-reports-faculty-librarians/index.html" TargetMode="External"/><Relationship Id="rId15" Type="http://schemas.openxmlformats.org/officeDocument/2006/relationships/hyperlink" Target="https://policies.iu.edu/policies/aca-38-faculty-librarian-promotion/index.html" TargetMode="External"/><Relationship Id="rId16" Type="http://schemas.openxmlformats.org/officeDocument/2006/relationships/hyperlink" Target="https://policies.iu.edu/policies/aca-52-permanent-separations-academic-appointees/index.html" TargetMode="External"/><Relationship Id="rId17" Type="http://schemas.openxmlformats.org/officeDocument/2006/relationships/hyperlink" Target="https://facultycouncil.iupui.edu/FCContent/Html/Media/FCContent/handbook/facultyguide2019-20.pdf" TargetMode="External"/><Relationship Id="rId18" Type="http://schemas.openxmlformats.org/officeDocument/2006/relationships/hyperlink" Target="https://iu.box.com/s/xdvq5a5qlm0iwliqmeoh5ytd9wcofh52" TargetMode="External"/><Relationship Id="rId19" Type="http://schemas.openxmlformats.org/officeDocument/2006/relationships/hyperlink" Target="http://policies.iu.edu/policies/categories/academic-faculty-students/conditions-academic-employment/Code-of-Academic-Ethics.shtml" TargetMode="External"/><Relationship Id="rId20" Type="http://schemas.openxmlformats.org/officeDocument/2006/relationships/footer" Target="footer2.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Kelley School of Business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dcterms:created xsi:type="dcterms:W3CDTF">2023-12-14T19:38:08Z</dcterms:created>
  <dcterms:modified xsi:type="dcterms:W3CDTF">2023-12-14T19:38:08Z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22 for Word</vt:lpwstr>
  </property>
  <property fmtid="{D5CDD505-2E9C-101B-9397-08002B2CF9AE}" pid="4" name="LastSaved">
    <vt:filetime>2023-12-14T00:00:00Z</vt:filetime>
  </property>
  <property fmtid="{D5CDD505-2E9C-101B-9397-08002B2CF9AE}" pid="5" name="Producer">
    <vt:lpwstr>Adobe PDF Library 22.2.223</vt:lpwstr>
  </property>
  <property fmtid="{D5CDD505-2E9C-101B-9397-08002B2CF9AE}" pid="6" name="SourceModified">
    <vt:lpwstr>D:20220823193845</vt:lpwstr>
  </property>
</Properties>
</file>